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大厂回族自治县供销合作社</w:t>
      </w:r>
    </w:p>
    <w:p>
      <w:pPr>
        <w:ind w:firstLine="880" w:firstLineChars="200"/>
        <w:jc w:val="center"/>
        <w:rPr>
          <w:rFonts w:ascii="方正小标宋简体" w:hAnsi="Times New Roman" w:eastAsia="方正小标宋简体" w:cs="Times New Roman"/>
          <w:sz w:val="44"/>
          <w:szCs w:val="44"/>
        </w:rPr>
      </w:pPr>
      <w:r>
        <w:rPr>
          <w:rFonts w:ascii="方正小标宋简体" w:hAnsi="Times New Roman" w:eastAsia="方正小标宋简体" w:cs="方正小标宋简体"/>
          <w:sz w:val="44"/>
          <w:szCs w:val="44"/>
        </w:rPr>
        <w:t>201</w:t>
      </w:r>
      <w:r>
        <w:rPr>
          <w:rFonts w:hint="eastAsia" w:ascii="方正小标宋简体" w:hAnsi="Times New Roman" w:eastAsia="方正小标宋简体" w:cs="方正小标宋简体"/>
          <w:sz w:val="44"/>
          <w:szCs w:val="44"/>
          <w:lang w:val="en-US" w:eastAsia="zh-CN"/>
        </w:rPr>
        <w:t>8</w:t>
      </w:r>
      <w:r>
        <w:rPr>
          <w:rFonts w:hint="eastAsia" w:ascii="方正小标宋简体" w:hAnsi="Times New Roman" w:eastAsia="方正小标宋简体" w:cs="方正小标宋简体"/>
          <w:sz w:val="44"/>
          <w:szCs w:val="44"/>
        </w:rPr>
        <w:t>年部门预算信息公开</w:t>
      </w:r>
    </w:p>
    <w:p>
      <w:pPr>
        <w:ind w:firstLine="880" w:firstLineChars="200"/>
        <w:jc w:val="center"/>
        <w:rPr>
          <w:rFonts w:ascii="Times New Roman" w:hAnsi="Times New Roman" w:eastAsia="方正小标宋_GBK" w:cs="Times New Roman"/>
          <w:sz w:val="44"/>
          <w:szCs w:val="44"/>
        </w:rPr>
      </w:pPr>
    </w:p>
    <w:p>
      <w:pPr>
        <w:ind w:firstLine="640" w:firstLineChars="200"/>
        <w:rPr>
          <w:rFonts w:ascii="仿宋" w:hAnsi="仿宋" w:eastAsia="仿宋" w:cs="Times New Roman"/>
          <w:sz w:val="32"/>
          <w:szCs w:val="32"/>
        </w:rPr>
      </w:pPr>
      <w:r>
        <w:rPr>
          <w:rFonts w:hint="eastAsia" w:ascii="仿宋" w:hAnsi="仿宋" w:eastAsia="仿宋" w:cs="仿宋"/>
          <w:sz w:val="32"/>
          <w:szCs w:val="32"/>
        </w:rPr>
        <w:t>按照《</w:t>
      </w:r>
      <w:r>
        <w:rPr>
          <w:rFonts w:hint="eastAsia" w:ascii="仿宋" w:hAnsi="仿宋" w:eastAsia="仿宋" w:cs="仿宋"/>
          <w:sz w:val="32"/>
          <w:szCs w:val="32"/>
          <w:lang w:eastAsia="zh-CN"/>
        </w:rPr>
        <w:t>中华人民共和国</w:t>
      </w:r>
      <w:bookmarkStart w:id="1" w:name="_GoBack"/>
      <w:bookmarkEnd w:id="1"/>
      <w:r>
        <w:rPr>
          <w:rFonts w:hint="eastAsia" w:ascii="仿宋" w:hAnsi="仿宋" w:eastAsia="仿宋" w:cs="仿宋"/>
          <w:sz w:val="32"/>
          <w:szCs w:val="32"/>
        </w:rPr>
        <w:t>预算法》、《地方预决算公开操作规程》和《河北省省级预算公开办法》规定，现将大厂回族自治县供销合作社</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黑体"/>
          <w:sz w:val="32"/>
          <w:szCs w:val="32"/>
        </w:rPr>
        <w:t>一、部门职责及机构设置情况</w:t>
      </w:r>
    </w:p>
    <w:p>
      <w:pPr>
        <w:ind w:firstLine="643" w:firstLineChars="200"/>
        <w:rPr>
          <w:rFonts w:ascii="楷体" w:hAnsi="楷体" w:eastAsia="楷体" w:cs="Times New Roman"/>
          <w:b/>
          <w:bCs/>
          <w:sz w:val="32"/>
          <w:szCs w:val="32"/>
        </w:rPr>
      </w:pPr>
      <w:r>
        <w:rPr>
          <w:rFonts w:hint="eastAsia" w:ascii="楷体" w:hAnsi="楷体" w:eastAsia="楷体" w:cs="楷体"/>
          <w:b/>
          <w:bCs/>
          <w:sz w:val="32"/>
          <w:szCs w:val="32"/>
        </w:rPr>
        <w:t>部门职责：</w:t>
      </w:r>
    </w:p>
    <w:p>
      <w:pPr>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、贯彻县委、县政府和市供销社有关农村工作和社会发展的方针、政策，制定全县供销社发展战略和规划，指导全县供销社改革和发展。</w:t>
      </w:r>
    </w:p>
    <w:p>
      <w:pPr>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、按照供销合作社章程赋予的合法权益，负责协调与政府各部门和社会组织的关系，促进合作经济的发展。</w:t>
      </w:r>
    </w:p>
    <w:p>
      <w:pPr>
        <w:ind w:firstLine="64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、承担全县重要防汛救灾物资的储备工作。</w:t>
      </w:r>
    </w:p>
    <w:p>
      <w:pPr>
        <w:ind w:firstLine="640" w:firstLineChars="200"/>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、根据《河北省食盐加碘消除碘缺乏危害监督管理条例》和有关规定，按照县政府授权，具体负责全县流通领域盐业行政执法管理，食盐批发和零售市场的监督检查，做好全县食盐专营工作。</w:t>
      </w:r>
    </w:p>
    <w:p>
      <w:pPr>
        <w:ind w:firstLine="640" w:firstLineChars="200"/>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、负责指导全县供销社的业务活动，参与、推动和服务农业产业化经营，发展龙头企业、专业合作社和消费合作社，加快农业社会化服务体系和农产品市场体系建设、开拓城乡市场。</w:t>
      </w:r>
    </w:p>
    <w:p>
      <w:pPr>
        <w:ind w:firstLine="640" w:firstLineChars="200"/>
        <w:rPr>
          <w:rFonts w:ascii="仿宋" w:hAnsi="仿宋" w:eastAsia="仿宋" w:cs="Times New Roman"/>
          <w:sz w:val="32"/>
          <w:szCs w:val="32"/>
        </w:rPr>
      </w:pPr>
      <w:r>
        <w:rPr>
          <w:rFonts w:ascii="仿宋" w:hAnsi="仿宋" w:eastAsia="仿宋" w:cs="仿宋"/>
          <w:sz w:val="32"/>
          <w:szCs w:val="32"/>
        </w:rPr>
        <w:t>6</w:t>
      </w:r>
      <w:r>
        <w:rPr>
          <w:rFonts w:hint="eastAsia" w:ascii="仿宋" w:hAnsi="仿宋" w:eastAsia="仿宋" w:cs="仿宋"/>
          <w:sz w:val="32"/>
          <w:szCs w:val="32"/>
        </w:rPr>
        <w:t>、指导系统实施“科教兴社”战略，指导系统技术创新和技术推广，组织开展对社员和职工教育与培训，为全县供销社提供科技服务和信息服务。</w:t>
      </w:r>
    </w:p>
    <w:p>
      <w:pPr>
        <w:ind w:firstLine="640" w:firstLineChars="200"/>
        <w:rPr>
          <w:rFonts w:ascii="仿宋" w:hAnsi="仿宋" w:eastAsia="仿宋" w:cs="Times New Roman"/>
          <w:sz w:val="32"/>
          <w:szCs w:val="32"/>
        </w:rPr>
      </w:pPr>
      <w:r>
        <w:rPr>
          <w:rFonts w:ascii="仿宋" w:hAnsi="仿宋" w:eastAsia="仿宋" w:cs="仿宋"/>
          <w:sz w:val="32"/>
          <w:szCs w:val="32"/>
        </w:rPr>
        <w:t>7</w:t>
      </w:r>
      <w:r>
        <w:rPr>
          <w:rFonts w:hint="eastAsia" w:ascii="仿宋" w:hAnsi="仿宋" w:eastAsia="仿宋" w:cs="仿宋"/>
          <w:sz w:val="32"/>
          <w:szCs w:val="32"/>
        </w:rPr>
        <w:t>、负责全县供销社所属企业改革，建立现代企业制度，指导系统党风廉政建设。</w:t>
      </w:r>
    </w:p>
    <w:p>
      <w:pPr>
        <w:ind w:firstLine="640" w:firstLineChars="200"/>
        <w:rPr>
          <w:rFonts w:ascii="仿宋" w:hAnsi="仿宋" w:eastAsia="仿宋" w:cs="Times New Roman"/>
          <w:sz w:val="32"/>
          <w:szCs w:val="32"/>
        </w:rPr>
      </w:pPr>
      <w:r>
        <w:rPr>
          <w:rFonts w:ascii="仿宋" w:hAnsi="仿宋" w:eastAsia="仿宋" w:cs="仿宋"/>
          <w:sz w:val="32"/>
          <w:szCs w:val="32"/>
        </w:rPr>
        <w:t>8</w:t>
      </w:r>
      <w:r>
        <w:rPr>
          <w:rFonts w:hint="eastAsia" w:ascii="仿宋" w:hAnsi="仿宋" w:eastAsia="仿宋" w:cs="仿宋"/>
          <w:sz w:val="32"/>
          <w:szCs w:val="32"/>
        </w:rPr>
        <w:t>、负责管理运营本级社有资产，对直属企业行使出资人职能，依法享有所有者的资产收益、重大问题决策和选择管理者的权利，决定资产收益办法和支配方式。负责机关及直属单位党建、精神文明建设和政治思想工作，按照干部管理权限考察任免干部。</w:t>
      </w:r>
    </w:p>
    <w:p>
      <w:pPr>
        <w:ind w:firstLine="640" w:firstLineChars="200"/>
        <w:rPr>
          <w:rFonts w:ascii="仿宋" w:hAnsi="仿宋" w:eastAsia="仿宋" w:cs="Times New Roman"/>
          <w:sz w:val="32"/>
          <w:szCs w:val="32"/>
        </w:rPr>
      </w:pPr>
      <w:r>
        <w:rPr>
          <w:rFonts w:ascii="仿宋" w:hAnsi="仿宋" w:eastAsia="仿宋" w:cs="仿宋"/>
          <w:sz w:val="32"/>
          <w:szCs w:val="32"/>
        </w:rPr>
        <w:t>9</w:t>
      </w:r>
      <w:r>
        <w:rPr>
          <w:rFonts w:hint="eastAsia" w:ascii="仿宋" w:hAnsi="仿宋" w:eastAsia="仿宋" w:cs="仿宋"/>
          <w:sz w:val="32"/>
          <w:szCs w:val="32"/>
        </w:rPr>
        <w:t>、承办县委、县政府和市供销社交办的其他事项。</w:t>
      </w:r>
    </w:p>
    <w:p>
      <w:pPr>
        <w:ind w:firstLine="643" w:firstLineChars="200"/>
        <w:rPr>
          <w:rFonts w:ascii="楷体" w:hAnsi="楷体" w:eastAsia="楷体" w:cs="Times New Roman"/>
          <w:b/>
          <w:bCs/>
          <w:sz w:val="32"/>
          <w:szCs w:val="32"/>
        </w:rPr>
      </w:pPr>
      <w:r>
        <w:rPr>
          <w:rFonts w:hint="eastAsia" w:ascii="楷体" w:hAnsi="楷体" w:eastAsia="楷体" w:cs="楷体"/>
          <w:b/>
          <w:bCs/>
          <w:sz w:val="32"/>
          <w:szCs w:val="32"/>
        </w:rPr>
        <w:t>机构设置：</w:t>
      </w:r>
    </w:p>
    <w:p>
      <w:pPr>
        <w:ind w:firstLine="200"/>
        <w:jc w:val="center"/>
        <w:outlineLvl w:val="0"/>
        <w:rPr>
          <w:rFonts w:ascii="Times New Roman" w:hAnsi="Times New Roman" w:eastAsia="方正小标宋_GBK" w:cs="Times New Roman"/>
          <w:sz w:val="32"/>
          <w:szCs w:val="32"/>
        </w:rPr>
      </w:pPr>
      <w:r>
        <w:rPr>
          <w:rFonts w:hint="eastAsia" w:ascii="Times New Roman" w:hAnsi="Times New Roman" w:eastAsia="方正小标宋_GBK" w:cs="方正小标宋_GBK"/>
          <w:sz w:val="32"/>
          <w:szCs w:val="32"/>
        </w:rPr>
        <w:t>部门机构设置情况</w:t>
      </w:r>
    </w:p>
    <w:tbl>
      <w:tblPr>
        <w:tblStyle w:val="6"/>
        <w:tblW w:w="12288" w:type="dxa"/>
        <w:tblInd w:w="-1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988"/>
        <w:gridCol w:w="1785"/>
        <w:gridCol w:w="1785"/>
        <w:gridCol w:w="27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3" w:hRule="atLeast"/>
          <w:tblHeader/>
        </w:trPr>
        <w:tc>
          <w:tcPr>
            <w:tcW w:w="5988" w:type="dxa"/>
            <w:vMerge w:val="restart"/>
            <w:vAlign w:val="center"/>
          </w:tcPr>
          <w:p>
            <w:pPr>
              <w:spacing w:line="300" w:lineRule="exact"/>
              <w:ind w:firstLine="200"/>
              <w:jc w:val="center"/>
              <w:rPr>
                <w:rFonts w:ascii="仿宋" w:hAnsi="仿宋" w:eastAsia="仿宋" w:cs="Times New Roman"/>
                <w:b/>
                <w:bCs/>
                <w:sz w:val="32"/>
                <w:szCs w:val="32"/>
              </w:rPr>
            </w:pPr>
            <w:r>
              <w:rPr>
                <w:rFonts w:hint="eastAsia" w:ascii="仿宋" w:hAnsi="仿宋" w:eastAsia="仿宋" w:cs="仿宋"/>
                <w:b/>
                <w:bCs/>
                <w:sz w:val="32"/>
                <w:szCs w:val="32"/>
              </w:rPr>
              <w:t>单位名称</w:t>
            </w:r>
          </w:p>
        </w:tc>
        <w:tc>
          <w:tcPr>
            <w:tcW w:w="1785" w:type="dxa"/>
            <w:vMerge w:val="restart"/>
            <w:vAlign w:val="center"/>
          </w:tcPr>
          <w:p>
            <w:pPr>
              <w:spacing w:line="300" w:lineRule="exact"/>
              <w:ind w:firstLine="200"/>
              <w:jc w:val="center"/>
              <w:rPr>
                <w:rFonts w:ascii="仿宋" w:hAnsi="仿宋" w:eastAsia="仿宋" w:cs="Times New Roman"/>
                <w:b/>
                <w:bCs/>
                <w:sz w:val="32"/>
                <w:szCs w:val="32"/>
              </w:rPr>
            </w:pPr>
            <w:r>
              <w:rPr>
                <w:rFonts w:hint="eastAsia" w:ascii="仿宋" w:hAnsi="仿宋" w:eastAsia="仿宋" w:cs="仿宋"/>
                <w:b/>
                <w:bCs/>
                <w:sz w:val="32"/>
                <w:szCs w:val="32"/>
              </w:rPr>
              <w:t>单位性质</w:t>
            </w:r>
          </w:p>
        </w:tc>
        <w:tc>
          <w:tcPr>
            <w:tcW w:w="1785" w:type="dxa"/>
            <w:vMerge w:val="restart"/>
            <w:vAlign w:val="center"/>
          </w:tcPr>
          <w:p>
            <w:pPr>
              <w:spacing w:line="300" w:lineRule="exact"/>
              <w:ind w:firstLine="200"/>
              <w:jc w:val="center"/>
              <w:rPr>
                <w:rFonts w:ascii="仿宋" w:hAnsi="仿宋" w:eastAsia="仿宋" w:cs="Times New Roman"/>
                <w:b/>
                <w:bCs/>
                <w:sz w:val="32"/>
                <w:szCs w:val="32"/>
              </w:rPr>
            </w:pPr>
            <w:r>
              <w:rPr>
                <w:rFonts w:hint="eastAsia" w:ascii="仿宋" w:hAnsi="仿宋" w:eastAsia="仿宋" w:cs="仿宋"/>
                <w:b/>
                <w:bCs/>
                <w:sz w:val="32"/>
                <w:szCs w:val="32"/>
              </w:rPr>
              <w:t>单位规格</w:t>
            </w:r>
          </w:p>
        </w:tc>
        <w:tc>
          <w:tcPr>
            <w:tcW w:w="2730" w:type="dxa"/>
            <w:vMerge w:val="restart"/>
            <w:vAlign w:val="center"/>
          </w:tcPr>
          <w:p>
            <w:pPr>
              <w:spacing w:line="300" w:lineRule="exact"/>
              <w:ind w:firstLine="200"/>
              <w:jc w:val="center"/>
              <w:rPr>
                <w:rFonts w:ascii="仿宋" w:hAnsi="仿宋" w:eastAsia="仿宋" w:cs="Times New Roman"/>
                <w:b/>
                <w:bCs/>
                <w:sz w:val="32"/>
                <w:szCs w:val="32"/>
              </w:rPr>
            </w:pPr>
            <w:r>
              <w:rPr>
                <w:rFonts w:hint="eastAsia" w:ascii="仿宋" w:hAnsi="仿宋" w:eastAsia="仿宋" w:cs="仿宋"/>
                <w:b/>
                <w:bCs/>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3" w:hRule="atLeast"/>
          <w:tblHeader/>
        </w:trPr>
        <w:tc>
          <w:tcPr>
            <w:tcW w:w="5988" w:type="dxa"/>
            <w:vMerge w:val="continue"/>
            <w:vAlign w:val="center"/>
          </w:tcPr>
          <w:p>
            <w:pPr>
              <w:spacing w:line="300" w:lineRule="exact"/>
              <w:ind w:firstLine="200"/>
              <w:jc w:val="left"/>
              <w:outlineLvl w:val="0"/>
              <w:rPr>
                <w:rFonts w:ascii="仿宋" w:hAnsi="仿宋" w:eastAsia="仿宋" w:cs="Times New Roman"/>
                <w:sz w:val="32"/>
                <w:szCs w:val="32"/>
              </w:rPr>
            </w:pPr>
          </w:p>
        </w:tc>
        <w:tc>
          <w:tcPr>
            <w:tcW w:w="1785" w:type="dxa"/>
            <w:vMerge w:val="continue"/>
            <w:vAlign w:val="center"/>
          </w:tcPr>
          <w:p>
            <w:pPr>
              <w:spacing w:line="300" w:lineRule="exact"/>
              <w:ind w:firstLine="200"/>
              <w:jc w:val="left"/>
              <w:outlineLvl w:val="0"/>
              <w:rPr>
                <w:rFonts w:ascii="仿宋" w:hAnsi="仿宋" w:eastAsia="仿宋" w:cs="Times New Roman"/>
                <w:sz w:val="32"/>
                <w:szCs w:val="32"/>
              </w:rPr>
            </w:pPr>
          </w:p>
        </w:tc>
        <w:tc>
          <w:tcPr>
            <w:tcW w:w="1785" w:type="dxa"/>
            <w:vMerge w:val="continue"/>
            <w:vAlign w:val="center"/>
          </w:tcPr>
          <w:p>
            <w:pPr>
              <w:spacing w:line="300" w:lineRule="exact"/>
              <w:ind w:firstLine="200"/>
              <w:jc w:val="left"/>
              <w:outlineLvl w:val="0"/>
              <w:rPr>
                <w:rFonts w:ascii="仿宋" w:hAnsi="仿宋" w:eastAsia="仿宋" w:cs="Times New Roman"/>
                <w:sz w:val="32"/>
                <w:szCs w:val="32"/>
              </w:rPr>
            </w:pPr>
          </w:p>
        </w:tc>
        <w:tc>
          <w:tcPr>
            <w:tcW w:w="2730" w:type="dxa"/>
            <w:vMerge w:val="continue"/>
            <w:vAlign w:val="center"/>
          </w:tcPr>
          <w:p>
            <w:pPr>
              <w:spacing w:line="300" w:lineRule="exact"/>
              <w:ind w:firstLine="200"/>
              <w:jc w:val="left"/>
              <w:outlineLvl w:val="0"/>
              <w:rPr>
                <w:rFonts w:ascii="仿宋" w:hAnsi="仿宋" w:eastAsia="仿宋" w:cs="Times New Roman"/>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71" w:hRule="atLeast"/>
        </w:trPr>
        <w:tc>
          <w:tcPr>
            <w:tcW w:w="5988" w:type="dxa"/>
            <w:vAlign w:val="center"/>
          </w:tcPr>
          <w:p>
            <w:pPr>
              <w:spacing w:line="300" w:lineRule="exact"/>
              <w:ind w:firstLine="200"/>
              <w:jc w:val="center"/>
              <w:rPr>
                <w:rFonts w:ascii="仿宋" w:hAnsi="仿宋" w:eastAsia="仿宋" w:cs="Times New Roman"/>
                <w:sz w:val="32"/>
                <w:szCs w:val="32"/>
              </w:rPr>
            </w:pPr>
            <w:r>
              <w:rPr>
                <w:rFonts w:hint="eastAsia" w:ascii="仿宋" w:hAnsi="仿宋" w:eastAsia="仿宋" w:cs="仿宋"/>
                <w:sz w:val="32"/>
                <w:szCs w:val="32"/>
              </w:rPr>
              <w:t>大厂回族自治县供销合作社</w:t>
            </w:r>
          </w:p>
        </w:tc>
        <w:tc>
          <w:tcPr>
            <w:tcW w:w="1785" w:type="dxa"/>
            <w:vAlign w:val="center"/>
          </w:tcPr>
          <w:p>
            <w:pPr>
              <w:spacing w:line="300" w:lineRule="exact"/>
              <w:ind w:firstLine="200"/>
              <w:jc w:val="center"/>
              <w:rPr>
                <w:rFonts w:ascii="仿宋" w:hAnsi="仿宋" w:eastAsia="仿宋" w:cs="Times New Roman"/>
                <w:sz w:val="32"/>
                <w:szCs w:val="32"/>
              </w:rPr>
            </w:pPr>
            <w:r>
              <w:rPr>
                <w:rFonts w:hint="eastAsia" w:ascii="仿宋" w:hAnsi="仿宋" w:eastAsia="仿宋" w:cs="仿宋"/>
                <w:sz w:val="32"/>
                <w:szCs w:val="32"/>
              </w:rPr>
              <w:t>行政</w:t>
            </w:r>
          </w:p>
        </w:tc>
        <w:tc>
          <w:tcPr>
            <w:tcW w:w="1785" w:type="dxa"/>
            <w:vAlign w:val="center"/>
          </w:tcPr>
          <w:p>
            <w:pPr>
              <w:spacing w:line="300" w:lineRule="exact"/>
              <w:ind w:firstLine="200"/>
              <w:jc w:val="center"/>
              <w:rPr>
                <w:rFonts w:ascii="仿宋" w:hAnsi="仿宋" w:eastAsia="仿宋" w:cs="Times New Roman"/>
                <w:sz w:val="32"/>
                <w:szCs w:val="32"/>
              </w:rPr>
            </w:pPr>
            <w:r>
              <w:rPr>
                <w:rFonts w:hint="eastAsia" w:ascii="仿宋" w:hAnsi="仿宋" w:eastAsia="仿宋" w:cs="仿宋"/>
                <w:sz w:val="32"/>
                <w:szCs w:val="32"/>
              </w:rPr>
              <w:t>正科级</w:t>
            </w:r>
          </w:p>
        </w:tc>
        <w:tc>
          <w:tcPr>
            <w:tcW w:w="2730" w:type="dxa"/>
            <w:vAlign w:val="center"/>
          </w:tcPr>
          <w:p>
            <w:pPr>
              <w:spacing w:line="300" w:lineRule="exact"/>
              <w:ind w:firstLine="200"/>
              <w:jc w:val="center"/>
              <w:rPr>
                <w:rFonts w:ascii="仿宋" w:hAnsi="仿宋" w:eastAsia="仿宋" w:cs="Times New Roman"/>
                <w:sz w:val="32"/>
                <w:szCs w:val="32"/>
              </w:rPr>
            </w:pPr>
            <w:r>
              <w:rPr>
                <w:rFonts w:hint="eastAsia" w:ascii="仿宋" w:hAnsi="仿宋" w:eastAsia="仿宋" w:cs="仿宋"/>
                <w:sz w:val="32"/>
                <w:szCs w:val="32"/>
              </w:rPr>
              <w:t>财政拨款</w:t>
            </w:r>
          </w:p>
        </w:tc>
      </w:tr>
    </w:tbl>
    <w:p>
      <w:pPr>
        <w:ind w:firstLine="420" w:firstLineChars="200"/>
        <w:rPr>
          <w:rFonts w:cs="Times New Roman"/>
        </w:rPr>
      </w:pPr>
    </w:p>
    <w:p>
      <w:pPr>
        <w:ind w:firstLine="640" w:firstLineChars="200"/>
        <w:rPr>
          <w:rFonts w:ascii="黑体" w:hAnsi="黑体" w:eastAsia="黑体" w:cs="Times New Roman"/>
          <w:sz w:val="32"/>
          <w:szCs w:val="32"/>
        </w:rPr>
      </w:pPr>
      <w:r>
        <w:rPr>
          <w:rFonts w:hint="eastAsia" w:ascii="黑体" w:hAnsi="黑体" w:eastAsia="黑体" w:cs="黑体"/>
          <w:sz w:val="32"/>
          <w:szCs w:val="32"/>
        </w:rPr>
        <w:t>二、部门预算安排的总体情况</w:t>
      </w:r>
    </w:p>
    <w:p>
      <w:pPr>
        <w:ind w:firstLine="640" w:firstLineChars="200"/>
        <w:rPr>
          <w:rFonts w:ascii="仿宋" w:hAnsi="仿宋" w:eastAsia="仿宋" w:cs="Times New Roman"/>
          <w:sz w:val="32"/>
          <w:szCs w:val="32"/>
        </w:rPr>
      </w:pPr>
      <w:r>
        <w:rPr>
          <w:rFonts w:hint="eastAsia" w:ascii="仿宋" w:hAnsi="仿宋" w:eastAsia="仿宋" w:cs="仿宋"/>
          <w:sz w:val="32"/>
          <w:szCs w:val="32"/>
        </w:rPr>
        <w:t>按照预算管理有关规定，目前我部门预算的编制实行综合预算制度，即全部收入和支出都反映在预算中。我部门全部收支包含在部门预算中。</w:t>
      </w:r>
    </w:p>
    <w:p>
      <w:pPr>
        <w:spacing w:line="560" w:lineRule="exact"/>
        <w:ind w:firstLine="643" w:firstLineChars="20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反映本部门当年全部收入。</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年预算收入</w:t>
      </w:r>
      <w:r>
        <w:rPr>
          <w:rFonts w:hint="eastAsia" w:ascii="仿宋" w:hAnsi="仿宋" w:eastAsia="仿宋" w:cs="仿宋"/>
          <w:sz w:val="32"/>
          <w:szCs w:val="32"/>
          <w:lang w:val="en-US" w:eastAsia="zh-CN"/>
        </w:rPr>
        <w:t>242.46</w:t>
      </w:r>
      <w:r>
        <w:rPr>
          <w:rFonts w:hint="eastAsia" w:ascii="仿宋" w:hAnsi="仿宋" w:eastAsia="仿宋" w:cs="仿宋"/>
          <w:sz w:val="32"/>
          <w:szCs w:val="32"/>
        </w:rPr>
        <w:t>万元，其中：一般公共预算收入</w:t>
      </w:r>
      <w:r>
        <w:rPr>
          <w:rFonts w:hint="eastAsia" w:ascii="仿宋" w:hAnsi="仿宋" w:eastAsia="仿宋" w:cs="仿宋"/>
          <w:sz w:val="32"/>
          <w:szCs w:val="32"/>
          <w:lang w:val="en-US" w:eastAsia="zh-CN"/>
        </w:rPr>
        <w:t>242.46</w:t>
      </w:r>
      <w:r>
        <w:rPr>
          <w:rFonts w:hint="eastAsia" w:ascii="仿宋" w:hAnsi="仿宋" w:eastAsia="仿宋" w:cs="仿宋"/>
          <w:sz w:val="32"/>
          <w:szCs w:val="32"/>
        </w:rPr>
        <w:t>万元，政府性基金收入</w:t>
      </w:r>
      <w:r>
        <w:rPr>
          <w:rFonts w:ascii="仿宋" w:hAnsi="仿宋" w:eastAsia="仿宋" w:cs="仿宋"/>
          <w:sz w:val="32"/>
          <w:szCs w:val="32"/>
        </w:rPr>
        <w:t>0</w:t>
      </w:r>
      <w:r>
        <w:rPr>
          <w:rFonts w:hint="eastAsia" w:ascii="仿宋" w:hAnsi="仿宋" w:eastAsia="仿宋" w:cs="仿宋"/>
          <w:sz w:val="32"/>
          <w:szCs w:val="32"/>
        </w:rPr>
        <w:t>万元，国有资本经营收入</w:t>
      </w:r>
      <w:r>
        <w:rPr>
          <w:rFonts w:ascii="仿宋" w:hAnsi="仿宋" w:eastAsia="仿宋" w:cs="仿宋"/>
          <w:sz w:val="32"/>
          <w:szCs w:val="32"/>
        </w:rPr>
        <w:t>0</w:t>
      </w:r>
      <w:r>
        <w:rPr>
          <w:rFonts w:hint="eastAsia" w:ascii="仿宋" w:hAnsi="仿宋" w:eastAsia="仿宋" w:cs="仿宋"/>
          <w:sz w:val="32"/>
          <w:szCs w:val="32"/>
        </w:rPr>
        <w:t>万元，其他收入</w:t>
      </w:r>
      <w:r>
        <w:rPr>
          <w:rFonts w:ascii="仿宋" w:hAnsi="仿宋" w:eastAsia="仿宋" w:cs="仿宋"/>
          <w:sz w:val="32"/>
          <w:szCs w:val="32"/>
        </w:rPr>
        <w:t>0</w:t>
      </w:r>
      <w:r>
        <w:rPr>
          <w:rFonts w:hint="eastAsia" w:ascii="仿宋" w:hAnsi="仿宋" w:eastAsia="仿宋" w:cs="仿宋"/>
          <w:sz w:val="32"/>
          <w:szCs w:val="32"/>
        </w:rPr>
        <w:t>万元。</w:t>
      </w:r>
    </w:p>
    <w:p>
      <w:pPr>
        <w:spacing w:line="560" w:lineRule="exact"/>
        <w:ind w:firstLine="643" w:firstLineChars="200"/>
        <w:rPr>
          <w:rFonts w:ascii="Times New Roman" w:hAnsi="Times New Roman" w:eastAsia="方正仿宋_GBK" w:cs="Times New Roman"/>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firstLineChars="200"/>
        <w:rPr>
          <w:rFonts w:ascii="仿宋" w:hAnsi="仿宋" w:eastAsia="仿宋" w:cs="Times New Roman"/>
          <w:sz w:val="32"/>
          <w:szCs w:val="32"/>
        </w:rPr>
      </w:pPr>
      <w:r>
        <w:rPr>
          <w:rFonts w:hint="eastAsia" w:ascii="仿宋" w:hAnsi="仿宋" w:eastAsia="仿宋" w:cs="仿宋"/>
          <w:sz w:val="32"/>
          <w:szCs w:val="32"/>
        </w:rPr>
        <w:t>收支预算总表支出栏、基本支出表、项目支出表按经济分类和支出功能分类科目编制，反映大厂回族自治县供销合作社</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年度部门预算中支出预算的总体情况。</w:t>
      </w: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242.46</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242.46</w:t>
      </w:r>
      <w:r>
        <w:rPr>
          <w:rFonts w:hint="eastAsia" w:ascii="仿宋" w:hAnsi="仿宋" w:eastAsia="仿宋" w:cs="仿宋"/>
          <w:sz w:val="32"/>
          <w:szCs w:val="32"/>
        </w:rPr>
        <w:t>万元，包括人员经费</w:t>
      </w:r>
      <w:r>
        <w:rPr>
          <w:rFonts w:hint="eastAsia" w:ascii="仿宋" w:hAnsi="仿宋" w:eastAsia="仿宋" w:cs="仿宋"/>
          <w:sz w:val="32"/>
          <w:szCs w:val="32"/>
          <w:lang w:val="en-US" w:eastAsia="zh-CN"/>
        </w:rPr>
        <w:t>217.59万元</w:t>
      </w:r>
      <w:r>
        <w:rPr>
          <w:rFonts w:hint="eastAsia" w:ascii="仿宋" w:hAnsi="仿宋" w:eastAsia="仿宋" w:cs="仿宋"/>
          <w:sz w:val="32"/>
          <w:szCs w:val="32"/>
        </w:rPr>
        <w:t>和日常公用经费</w:t>
      </w:r>
      <w:r>
        <w:rPr>
          <w:rFonts w:hint="eastAsia" w:ascii="仿宋" w:hAnsi="仿宋" w:eastAsia="仿宋" w:cs="仿宋"/>
          <w:sz w:val="32"/>
          <w:szCs w:val="32"/>
          <w:lang w:val="en-US" w:eastAsia="zh-CN"/>
        </w:rPr>
        <w:t>24.87万元，</w:t>
      </w:r>
      <w:r>
        <w:rPr>
          <w:rFonts w:hint="eastAsia" w:ascii="仿宋" w:hAnsi="仿宋" w:eastAsia="仿宋" w:cs="仿宋"/>
          <w:sz w:val="32"/>
          <w:szCs w:val="32"/>
        </w:rPr>
        <w:t>无项目支出，均为本级支出。</w:t>
      </w:r>
    </w:p>
    <w:p>
      <w:pPr>
        <w:spacing w:line="560" w:lineRule="exact"/>
        <w:ind w:firstLine="643" w:firstLineChars="20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、比上年增减情况</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年预算收支安排</w:t>
      </w:r>
      <w:r>
        <w:rPr>
          <w:rFonts w:hint="eastAsia" w:ascii="仿宋" w:hAnsi="仿宋" w:eastAsia="仿宋" w:cs="仿宋"/>
          <w:sz w:val="32"/>
          <w:szCs w:val="32"/>
          <w:lang w:val="en-US" w:eastAsia="zh-CN"/>
        </w:rPr>
        <w:t>242.46</w:t>
      </w:r>
      <w:r>
        <w:rPr>
          <w:rFonts w:hint="eastAsia" w:ascii="仿宋" w:hAnsi="仿宋" w:eastAsia="仿宋" w:cs="仿宋"/>
          <w:sz w:val="32"/>
          <w:szCs w:val="32"/>
        </w:rPr>
        <w:t>万元，较</w:t>
      </w:r>
      <w:r>
        <w:rPr>
          <w:rFonts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年预算增加</w:t>
      </w:r>
      <w:r>
        <w:rPr>
          <w:rFonts w:hint="eastAsia" w:ascii="仿宋" w:hAnsi="仿宋" w:eastAsia="仿宋" w:cs="仿宋"/>
          <w:sz w:val="32"/>
          <w:szCs w:val="32"/>
          <w:lang w:val="en-US" w:eastAsia="zh-CN"/>
        </w:rPr>
        <w:t>11.01</w:t>
      </w:r>
      <w:r>
        <w:rPr>
          <w:rFonts w:hint="eastAsia" w:ascii="仿宋" w:hAnsi="仿宋" w:eastAsia="仿宋" w:cs="仿宋"/>
          <w:sz w:val="32"/>
          <w:szCs w:val="32"/>
        </w:rPr>
        <w:t>万元，其中：基本支出增加</w:t>
      </w:r>
      <w:r>
        <w:rPr>
          <w:rFonts w:hint="eastAsia" w:ascii="仿宋" w:hAnsi="仿宋" w:eastAsia="仿宋" w:cs="仿宋"/>
          <w:sz w:val="32"/>
          <w:szCs w:val="32"/>
          <w:lang w:val="en-US" w:eastAsia="zh-CN"/>
        </w:rPr>
        <w:t>11.01</w:t>
      </w:r>
      <w:r>
        <w:rPr>
          <w:rFonts w:hint="eastAsia" w:ascii="仿宋" w:hAnsi="仿宋" w:eastAsia="仿宋" w:cs="仿宋"/>
          <w:sz w:val="32"/>
          <w:szCs w:val="32"/>
        </w:rPr>
        <w:t>万元，主要为</w:t>
      </w:r>
      <w:r>
        <w:rPr>
          <w:rFonts w:hint="eastAsia" w:ascii="仿宋" w:hAnsi="仿宋" w:eastAsia="仿宋" w:cs="仿宋"/>
          <w:sz w:val="32"/>
          <w:szCs w:val="32"/>
          <w:lang w:eastAsia="zh-CN"/>
        </w:rPr>
        <w:t>在职人员正常调资</w:t>
      </w:r>
      <w:r>
        <w:rPr>
          <w:rFonts w:hint="eastAsia" w:ascii="仿宋" w:hAnsi="仿宋" w:eastAsia="仿宋" w:cs="仿宋"/>
          <w:sz w:val="32"/>
          <w:szCs w:val="32"/>
        </w:rPr>
        <w:t>。</w:t>
      </w:r>
    </w:p>
    <w:p>
      <w:pPr>
        <w:autoSpaceDE w:val="0"/>
        <w:autoSpaceDN w:val="0"/>
        <w:adjustRightInd w:val="0"/>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三、机关运行经费安排情况</w:t>
      </w:r>
    </w:p>
    <w:p>
      <w:pPr>
        <w:autoSpaceDE w:val="0"/>
        <w:autoSpaceDN w:val="0"/>
        <w:adjustRightIn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机关运行经费共计安排</w:t>
      </w:r>
      <w:r>
        <w:rPr>
          <w:rFonts w:hint="eastAsia" w:ascii="仿宋" w:hAnsi="仿宋" w:eastAsia="仿宋" w:cs="仿宋"/>
          <w:sz w:val="28"/>
          <w:szCs w:val="28"/>
          <w:lang w:val="en-US" w:eastAsia="zh-CN"/>
        </w:rPr>
        <w:t>24.87</w:t>
      </w:r>
      <w:r>
        <w:rPr>
          <w:rFonts w:hint="eastAsia" w:ascii="仿宋" w:hAnsi="仿宋" w:eastAsia="仿宋" w:cs="仿宋"/>
          <w:sz w:val="32"/>
          <w:szCs w:val="32"/>
        </w:rPr>
        <w:t>万元，主要用于办公区的日常维修、办公用房水电费、办公用房取暖费、办公用房物业管理费等日常运行支出。</w:t>
      </w:r>
    </w:p>
    <w:p>
      <w:pPr>
        <w:autoSpaceDE w:val="0"/>
        <w:autoSpaceDN w:val="0"/>
        <w:adjustRightInd w:val="0"/>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spacing w:line="560" w:lineRule="exact"/>
        <w:ind w:firstLine="640" w:firstLineChars="200"/>
        <w:rPr>
          <w:rFonts w:ascii="仿宋" w:hAnsi="仿宋" w:eastAsia="仿宋" w:cs="Times New Roman"/>
          <w:sz w:val="32"/>
          <w:szCs w:val="32"/>
        </w:rPr>
      </w:pP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年，我部门</w:t>
      </w:r>
      <w:r>
        <w:rPr>
          <w:rFonts w:hint="eastAsia" w:ascii="仿宋" w:hAnsi="仿宋" w:eastAsia="仿宋" w:cs="仿宋"/>
          <w:sz w:val="32"/>
          <w:szCs w:val="32"/>
          <w:lang w:eastAsia="zh-CN"/>
        </w:rPr>
        <w:t>财政拨款</w:t>
      </w:r>
      <w:r>
        <w:rPr>
          <w:rFonts w:hint="eastAsia" w:ascii="仿宋" w:hAnsi="仿宋" w:eastAsia="仿宋" w:cs="仿宋"/>
          <w:sz w:val="32"/>
          <w:szCs w:val="32"/>
        </w:rPr>
        <w:t>“三公”经费预算安排</w:t>
      </w:r>
      <w:r>
        <w:rPr>
          <w:rFonts w:hint="eastAsia" w:ascii="仿宋" w:hAnsi="仿宋" w:eastAsia="仿宋" w:cs="仿宋"/>
          <w:sz w:val="32"/>
          <w:szCs w:val="32"/>
          <w:lang w:val="en-US" w:eastAsia="zh-CN"/>
        </w:rPr>
        <w:t>2.41</w:t>
      </w:r>
      <w:r>
        <w:rPr>
          <w:rFonts w:hint="eastAsia" w:ascii="仿宋" w:hAnsi="仿宋" w:eastAsia="仿宋" w:cs="仿宋"/>
          <w:sz w:val="32"/>
          <w:szCs w:val="32"/>
        </w:rPr>
        <w:t>万元，其中</w:t>
      </w:r>
      <w:r>
        <w:rPr>
          <w:rFonts w:hint="eastAsia" w:ascii="仿宋" w:hAnsi="仿宋" w:eastAsia="仿宋" w:cs="仿宋"/>
          <w:sz w:val="32"/>
          <w:szCs w:val="32"/>
          <w:lang w:eastAsia="zh-CN"/>
        </w:rPr>
        <w:t>，</w:t>
      </w:r>
      <w:r>
        <w:rPr>
          <w:rFonts w:hint="eastAsia" w:ascii="仿宋" w:hAnsi="仿宋" w:eastAsia="仿宋" w:cs="仿宋"/>
          <w:sz w:val="32"/>
          <w:szCs w:val="32"/>
        </w:rPr>
        <w:t>因公出国（境）费</w:t>
      </w:r>
      <w:r>
        <w:rPr>
          <w:rFonts w:ascii="仿宋" w:hAnsi="仿宋" w:eastAsia="仿宋" w:cs="仿宋"/>
          <w:sz w:val="32"/>
          <w:szCs w:val="32"/>
        </w:rPr>
        <w:t>0</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r>
        <w:rPr>
          <w:rFonts w:hint="eastAsia" w:ascii="仿宋" w:hAnsi="仿宋" w:eastAsia="仿宋" w:cs="仿宋"/>
          <w:sz w:val="32"/>
          <w:szCs w:val="32"/>
        </w:rPr>
        <w:t>公务用车购置及运维费</w:t>
      </w:r>
      <w:r>
        <w:rPr>
          <w:rFonts w:ascii="仿宋" w:hAnsi="仿宋" w:eastAsia="仿宋" w:cs="仿宋"/>
          <w:sz w:val="32"/>
          <w:szCs w:val="32"/>
        </w:rPr>
        <w:t>2.3</w:t>
      </w:r>
      <w:r>
        <w:rPr>
          <w:rFonts w:hint="eastAsia" w:ascii="仿宋" w:hAnsi="仿宋" w:eastAsia="仿宋" w:cs="仿宋"/>
          <w:sz w:val="32"/>
          <w:szCs w:val="32"/>
        </w:rPr>
        <w:t>万元（其中：公务用车购置费为</w:t>
      </w:r>
      <w:r>
        <w:rPr>
          <w:rFonts w:ascii="仿宋" w:hAnsi="仿宋" w:eastAsia="仿宋" w:cs="仿宋"/>
          <w:sz w:val="32"/>
          <w:szCs w:val="32"/>
        </w:rPr>
        <w:t>0</w:t>
      </w:r>
      <w:r>
        <w:rPr>
          <w:rFonts w:hint="eastAsia" w:ascii="仿宋" w:hAnsi="仿宋" w:eastAsia="仿宋" w:cs="仿宋"/>
          <w:sz w:val="32"/>
          <w:szCs w:val="32"/>
        </w:rPr>
        <w:t>万元，公务用车运行费</w:t>
      </w:r>
      <w:r>
        <w:rPr>
          <w:rFonts w:ascii="仿宋" w:hAnsi="仿宋" w:eastAsia="仿宋" w:cs="仿宋"/>
          <w:sz w:val="32"/>
          <w:szCs w:val="32"/>
        </w:rPr>
        <w:t>2.3</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，公务接待费</w:t>
      </w:r>
      <w:r>
        <w:rPr>
          <w:rFonts w:ascii="仿宋" w:hAnsi="仿宋" w:eastAsia="仿宋" w:cs="仿宋"/>
          <w:sz w:val="32"/>
          <w:szCs w:val="32"/>
        </w:rPr>
        <w:t>0.11</w:t>
      </w:r>
      <w:r>
        <w:rPr>
          <w:rFonts w:hint="eastAsia" w:ascii="仿宋" w:hAnsi="仿宋" w:eastAsia="仿宋" w:cs="仿宋"/>
          <w:sz w:val="32"/>
          <w:szCs w:val="32"/>
        </w:rPr>
        <w:t>万元。因公出国（境）费与</w:t>
      </w:r>
      <w:r>
        <w:rPr>
          <w:rFonts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年度</w:t>
      </w:r>
      <w:r>
        <w:rPr>
          <w:rFonts w:hint="eastAsia" w:ascii="仿宋" w:hAnsi="仿宋" w:eastAsia="仿宋" w:cs="仿宋"/>
          <w:sz w:val="32"/>
          <w:szCs w:val="32"/>
          <w:lang w:eastAsia="zh-CN"/>
        </w:rPr>
        <w:t>相</w:t>
      </w:r>
      <w:r>
        <w:rPr>
          <w:rFonts w:hint="eastAsia" w:ascii="仿宋" w:hAnsi="仿宋" w:eastAsia="仿宋" w:cs="仿宋"/>
          <w:sz w:val="32"/>
          <w:szCs w:val="32"/>
        </w:rPr>
        <w:t>比持平，无增减变化；公务用车购置及运维费与</w:t>
      </w:r>
      <w:r>
        <w:rPr>
          <w:rFonts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年度</w:t>
      </w:r>
      <w:r>
        <w:rPr>
          <w:rFonts w:hint="eastAsia" w:ascii="仿宋" w:hAnsi="仿宋" w:eastAsia="仿宋" w:cs="仿宋"/>
          <w:sz w:val="32"/>
          <w:szCs w:val="32"/>
          <w:lang w:eastAsia="zh-CN"/>
        </w:rPr>
        <w:t>相</w:t>
      </w:r>
      <w:r>
        <w:rPr>
          <w:rFonts w:hint="eastAsia" w:ascii="仿宋" w:hAnsi="仿宋" w:eastAsia="仿宋" w:cs="仿宋"/>
          <w:sz w:val="32"/>
          <w:szCs w:val="32"/>
        </w:rPr>
        <w:t>比持平，无增减变化；公务接待费与</w:t>
      </w:r>
      <w:r>
        <w:rPr>
          <w:rFonts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年相比减少</w:t>
      </w:r>
      <w:r>
        <w:rPr>
          <w:rFonts w:ascii="仿宋" w:hAnsi="仿宋" w:eastAsia="仿宋" w:cs="仿宋"/>
          <w:sz w:val="32"/>
          <w:szCs w:val="32"/>
        </w:rPr>
        <w:t>0.1</w:t>
      </w:r>
      <w:r>
        <w:rPr>
          <w:rFonts w:hint="eastAsia" w:ascii="仿宋" w:hAnsi="仿宋" w:eastAsia="仿宋" w:cs="仿宋"/>
          <w:sz w:val="32"/>
          <w:szCs w:val="32"/>
          <w:lang w:val="en-US" w:eastAsia="zh-CN"/>
        </w:rPr>
        <w:t>3</w:t>
      </w:r>
      <w:r>
        <w:rPr>
          <w:rFonts w:hint="eastAsia" w:ascii="仿宋" w:hAnsi="仿宋" w:eastAsia="仿宋" w:cs="仿宋"/>
          <w:sz w:val="32"/>
          <w:szCs w:val="32"/>
        </w:rPr>
        <w:t>万元，主要减少原因为</w:t>
      </w:r>
      <w:r>
        <w:rPr>
          <w:rFonts w:hint="eastAsia" w:ascii="仿宋" w:hAnsi="仿宋" w:eastAsia="仿宋" w:cs="仿宋"/>
          <w:sz w:val="32"/>
          <w:szCs w:val="32"/>
          <w:lang w:eastAsia="zh-CN"/>
        </w:rPr>
        <w:t>我部门切实勤俭节约各项规定，</w:t>
      </w:r>
      <w:r>
        <w:rPr>
          <w:rFonts w:hint="eastAsia" w:ascii="仿宋" w:hAnsi="仿宋" w:eastAsia="仿宋" w:cs="仿宋"/>
          <w:sz w:val="32"/>
          <w:szCs w:val="32"/>
        </w:rPr>
        <w:t>严格控制</w:t>
      </w:r>
      <w:r>
        <w:rPr>
          <w:rFonts w:hint="eastAsia" w:ascii="仿宋" w:hAnsi="仿宋" w:eastAsia="仿宋" w:cs="仿宋"/>
          <w:sz w:val="32"/>
          <w:szCs w:val="32"/>
          <w:lang w:eastAsia="zh-CN"/>
        </w:rPr>
        <w:t>公务</w:t>
      </w:r>
      <w:r>
        <w:rPr>
          <w:rFonts w:hint="eastAsia" w:ascii="仿宋" w:hAnsi="仿宋" w:eastAsia="仿宋" w:cs="仿宋"/>
          <w:sz w:val="32"/>
          <w:szCs w:val="32"/>
        </w:rPr>
        <w:t>接待</w:t>
      </w:r>
      <w:r>
        <w:rPr>
          <w:rFonts w:hint="eastAsia" w:ascii="仿宋" w:hAnsi="仿宋" w:eastAsia="仿宋" w:cs="仿宋"/>
          <w:sz w:val="32"/>
          <w:szCs w:val="32"/>
          <w:lang w:eastAsia="zh-CN"/>
        </w:rPr>
        <w:t>费支出</w:t>
      </w:r>
      <w:r>
        <w:rPr>
          <w:rFonts w:hint="eastAsia" w:ascii="仿宋" w:hAnsi="仿宋" w:eastAsia="仿宋" w:cs="仿宋"/>
          <w:sz w:val="32"/>
          <w:szCs w:val="32"/>
        </w:rPr>
        <w:t>。</w:t>
      </w:r>
    </w:p>
    <w:p>
      <w:pPr>
        <w:spacing w:line="560" w:lineRule="exact"/>
        <w:ind w:firstLine="640" w:firstLineChars="200"/>
        <w:rPr>
          <w:rFonts w:ascii="黑体" w:hAnsi="黑体" w:eastAsia="黑体" w:cs="Times New Roman"/>
          <w:sz w:val="32"/>
          <w:szCs w:val="32"/>
        </w:rPr>
      </w:pPr>
      <w:r>
        <w:rPr>
          <w:rFonts w:hint="eastAsia" w:ascii="黑体" w:hAnsi="黑体" w:eastAsia="黑体" w:cs="黑体"/>
          <w:sz w:val="32"/>
          <w:szCs w:val="32"/>
        </w:rPr>
        <w:t>五、绩效预算信息</w:t>
      </w:r>
    </w:p>
    <w:p>
      <w:pPr>
        <w:spacing w:line="560" w:lineRule="exact"/>
        <w:ind w:firstLine="643" w:firstLineChars="200"/>
        <w:rPr>
          <w:rFonts w:ascii="楷体" w:hAnsi="楷体" w:eastAsia="楷体" w:cs="Times New Roman"/>
          <w:b/>
          <w:bCs/>
          <w:sz w:val="32"/>
          <w:szCs w:val="32"/>
        </w:rPr>
      </w:pPr>
      <w:r>
        <w:rPr>
          <w:rFonts w:hint="eastAsia" w:ascii="楷体" w:hAnsi="楷体" w:eastAsia="楷体" w:cs="楷体"/>
          <w:b/>
          <w:bCs/>
          <w:sz w:val="32"/>
          <w:szCs w:val="32"/>
        </w:rPr>
        <w:t>总体绩效目标：</w:t>
      </w:r>
    </w:p>
    <w:p>
      <w:pPr>
        <w:ind w:firstLine="640" w:firstLineChars="200"/>
        <w:rPr>
          <w:rFonts w:ascii="仿宋" w:hAnsi="仿宋" w:eastAsia="仿宋" w:cs="Times New Roman"/>
          <w:sz w:val="32"/>
          <w:szCs w:val="32"/>
        </w:rPr>
      </w:pP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大厂回族自治县供销合作社，以绩效目标实现为导向，进一步加强制度建设，提升自评质量，预算绩效管理取得新成效。一是抓好绩效目标编制，及时报送绩效目标。二是探索绩效跟踪监控，要求加强过程监控。三是健全绩效管理工作机制，明确职责分工，努力提高了绩效管理工作水平。</w:t>
      </w:r>
    </w:p>
    <w:p>
      <w:pPr>
        <w:ind w:firstLine="643" w:firstLineChars="200"/>
        <w:jc w:val="left"/>
        <w:rPr>
          <w:rFonts w:ascii="楷体" w:hAnsi="楷体" w:eastAsia="楷体" w:cs="Times New Roman"/>
          <w:b/>
          <w:bCs/>
          <w:sz w:val="32"/>
          <w:szCs w:val="32"/>
        </w:rPr>
      </w:pPr>
      <w:r>
        <w:rPr>
          <w:rFonts w:hint="eastAsia" w:ascii="楷体" w:hAnsi="楷体" w:eastAsia="楷体" w:cs="楷体"/>
          <w:b/>
          <w:bCs/>
          <w:sz w:val="32"/>
          <w:szCs w:val="32"/>
        </w:rPr>
        <w:t>部门职责及工作活动绩效目标指标：</w:t>
      </w:r>
    </w:p>
    <w:tbl>
      <w:tblPr>
        <w:tblStyle w:val="6"/>
        <w:tblW w:w="140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1"/>
        <w:gridCol w:w="1276"/>
        <w:gridCol w:w="1168"/>
        <w:gridCol w:w="1808"/>
        <w:gridCol w:w="2976"/>
        <w:gridCol w:w="781"/>
        <w:gridCol w:w="636"/>
        <w:gridCol w:w="776"/>
        <w:gridCol w:w="776"/>
        <w:gridCol w:w="737"/>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3"/>
          <w:gridAfter w:val="5"/>
          <w:wBefore w:w="4785" w:type="dxa"/>
          <w:wAfter w:w="3662" w:type="dxa"/>
          <w:trHeight w:val="705" w:hRule="atLeast"/>
          <w:tblHeader/>
          <w:jc w:val="center"/>
        </w:trPr>
        <w:tc>
          <w:tcPr>
            <w:tcW w:w="5565" w:type="dxa"/>
            <w:gridSpan w:val="3"/>
            <w:tcBorders>
              <w:top w:val="nil"/>
              <w:left w:val="nil"/>
              <w:bottom w:val="nil"/>
              <w:right w:val="nil"/>
            </w:tcBorders>
          </w:tcPr>
          <w:p>
            <w:pPr>
              <w:jc w:val="center"/>
              <w:outlineLvl w:val="0"/>
              <w:rPr>
                <w:rFonts w:ascii="方正小标宋_GBK" w:eastAsia="方正小标宋_GBK" w:cs="Times New Roman"/>
                <w:sz w:val="32"/>
                <w:szCs w:val="32"/>
              </w:rPr>
            </w:pPr>
            <w:bookmarkStart w:id="0" w:name="_Toc477342769"/>
            <w:r>
              <w:rPr>
                <w:rFonts w:hint="eastAsia" w:ascii="方正小标宋_GBK" w:eastAsia="方正小标宋_GBK" w:cs="方正小标宋_GBK"/>
                <w:sz w:val="32"/>
                <w:szCs w:val="32"/>
              </w:rPr>
              <w:t>部门职责</w:t>
            </w:r>
            <w:r>
              <w:rPr>
                <w:rFonts w:ascii="方正小标宋_GBK" w:eastAsia="方正小标宋_GBK" w:cs="方正小标宋_GBK"/>
                <w:sz w:val="32"/>
                <w:szCs w:val="32"/>
              </w:rPr>
              <w:t>-</w:t>
            </w:r>
            <w:r>
              <w:rPr>
                <w:rFonts w:hint="eastAsia" w:ascii="方正小标宋_GBK" w:eastAsia="方正小标宋_GBK" w:cs="方正小标宋_GBK"/>
                <w:sz w:val="32"/>
                <w:szCs w:val="32"/>
              </w:rPr>
              <w:t>工作活动绩效目标</w:t>
            </w:r>
          </w:p>
        </w:tc>
      </w:tr>
      <w:bookmarkEnd w:id="0"/>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8"/>
                <w:szCs w:val="28"/>
              </w:rPr>
            </w:pPr>
            <w:r>
              <w:rPr>
                <w:rFonts w:ascii="方正小标宋_GBK" w:eastAsia="方正小标宋_GBK" w:cs="方正小标宋_GBK"/>
                <w:sz w:val="28"/>
                <w:szCs w:val="28"/>
              </w:rPr>
              <w:t>957</w:t>
            </w:r>
            <w:r>
              <w:rPr>
                <w:rFonts w:hint="eastAsia" w:ascii="方正小标宋_GBK" w:eastAsia="方正小标宋_GBK" w:cs="方正小标宋_GBK"/>
                <w:sz w:val="28"/>
                <w:szCs w:val="28"/>
                <w:lang w:eastAsia="zh-CN"/>
              </w:rPr>
              <w:t>大厂回族自治县</w:t>
            </w:r>
            <w:r>
              <w:rPr>
                <w:rFonts w:hint="eastAsia" w:ascii="方正小标宋_GBK" w:eastAsia="方正小标宋_GBK" w:cs="方正小标宋_GBK"/>
                <w:sz w:val="28"/>
                <w:szCs w:val="28"/>
              </w:rPr>
              <w:t>供销合作社</w:t>
            </w:r>
          </w:p>
        </w:tc>
        <w:tc>
          <w:tcPr>
            <w:tcW w:w="3026" w:type="dxa"/>
            <w:gridSpan w:val="4"/>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8"/>
                <w:szCs w:val="28"/>
              </w:rPr>
            </w:pPr>
            <w:r>
              <w:rPr>
                <w:rFonts w:hint="eastAsia" w:ascii="方正书宋_GBK" w:eastAsia="方正书宋_GBK" w:cs="方正书宋_GBK"/>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职责活动</w:t>
            </w:r>
          </w:p>
        </w:tc>
        <w:tc>
          <w:tcPr>
            <w:tcW w:w="1276" w:type="dxa"/>
            <w:vMerge w:val="restart"/>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年度预算数</w:t>
            </w:r>
          </w:p>
        </w:tc>
        <w:tc>
          <w:tcPr>
            <w:tcW w:w="2976" w:type="dxa"/>
            <w:gridSpan w:val="2"/>
            <w:vMerge w:val="restart"/>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内容描述</w:t>
            </w:r>
          </w:p>
        </w:tc>
        <w:tc>
          <w:tcPr>
            <w:tcW w:w="2976" w:type="dxa"/>
            <w:vMerge w:val="restart"/>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绩效目标</w:t>
            </w:r>
          </w:p>
        </w:tc>
        <w:tc>
          <w:tcPr>
            <w:tcW w:w="1417" w:type="dxa"/>
            <w:gridSpan w:val="2"/>
            <w:vMerge w:val="restart"/>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绩效指标</w:t>
            </w:r>
          </w:p>
        </w:tc>
        <w:tc>
          <w:tcPr>
            <w:tcW w:w="3026" w:type="dxa"/>
            <w:gridSpan w:val="4"/>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vAlign w:val="center"/>
          </w:tcPr>
          <w:p>
            <w:pPr>
              <w:spacing w:line="300" w:lineRule="exact"/>
              <w:jc w:val="left"/>
              <w:outlineLvl w:val="0"/>
              <w:rPr>
                <w:rFonts w:ascii="仿宋" w:hAnsi="仿宋" w:eastAsia="仿宋" w:cs="Times New Roman"/>
                <w:sz w:val="28"/>
                <w:szCs w:val="28"/>
              </w:rPr>
            </w:pPr>
          </w:p>
        </w:tc>
        <w:tc>
          <w:tcPr>
            <w:tcW w:w="1276" w:type="dxa"/>
            <w:vMerge w:val="continue"/>
            <w:vAlign w:val="center"/>
          </w:tcPr>
          <w:p>
            <w:pPr>
              <w:spacing w:line="300" w:lineRule="exact"/>
              <w:jc w:val="left"/>
              <w:outlineLvl w:val="0"/>
              <w:rPr>
                <w:rFonts w:ascii="仿宋" w:hAnsi="仿宋" w:eastAsia="仿宋" w:cs="Times New Roman"/>
                <w:sz w:val="28"/>
                <w:szCs w:val="28"/>
              </w:rPr>
            </w:pPr>
          </w:p>
        </w:tc>
        <w:tc>
          <w:tcPr>
            <w:tcW w:w="2976" w:type="dxa"/>
            <w:gridSpan w:val="2"/>
            <w:vMerge w:val="continue"/>
            <w:vAlign w:val="center"/>
          </w:tcPr>
          <w:p>
            <w:pPr>
              <w:spacing w:line="300" w:lineRule="exact"/>
              <w:jc w:val="left"/>
              <w:outlineLvl w:val="0"/>
              <w:rPr>
                <w:rFonts w:ascii="仿宋" w:hAnsi="仿宋" w:eastAsia="仿宋" w:cs="Times New Roman"/>
                <w:sz w:val="28"/>
                <w:szCs w:val="28"/>
              </w:rPr>
            </w:pPr>
          </w:p>
        </w:tc>
        <w:tc>
          <w:tcPr>
            <w:tcW w:w="2976" w:type="dxa"/>
            <w:vMerge w:val="continue"/>
            <w:vAlign w:val="center"/>
          </w:tcPr>
          <w:p>
            <w:pPr>
              <w:spacing w:line="300" w:lineRule="exact"/>
              <w:jc w:val="left"/>
              <w:outlineLvl w:val="0"/>
              <w:rPr>
                <w:rFonts w:ascii="仿宋" w:hAnsi="仿宋" w:eastAsia="仿宋" w:cs="Times New Roman"/>
                <w:sz w:val="28"/>
                <w:szCs w:val="28"/>
              </w:rPr>
            </w:pPr>
          </w:p>
        </w:tc>
        <w:tc>
          <w:tcPr>
            <w:tcW w:w="1417" w:type="dxa"/>
            <w:gridSpan w:val="2"/>
            <w:vMerge w:val="continue"/>
            <w:vAlign w:val="center"/>
          </w:tcPr>
          <w:p>
            <w:pPr>
              <w:spacing w:line="300" w:lineRule="exact"/>
              <w:jc w:val="left"/>
              <w:outlineLvl w:val="0"/>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优</w:t>
            </w:r>
          </w:p>
        </w:tc>
        <w:tc>
          <w:tcPr>
            <w:tcW w:w="776" w:type="dxa"/>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良</w:t>
            </w:r>
          </w:p>
        </w:tc>
        <w:tc>
          <w:tcPr>
            <w:tcW w:w="737" w:type="dxa"/>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中</w:t>
            </w:r>
          </w:p>
        </w:tc>
        <w:tc>
          <w:tcPr>
            <w:tcW w:w="737" w:type="dxa"/>
            <w:vAlign w:val="center"/>
          </w:tcPr>
          <w:p>
            <w:pPr>
              <w:spacing w:line="300" w:lineRule="exact"/>
              <w:jc w:val="center"/>
              <w:rPr>
                <w:rFonts w:ascii="仿宋" w:hAnsi="仿宋" w:eastAsia="仿宋" w:cs="Times New Roman"/>
                <w:b/>
                <w:bCs/>
                <w:sz w:val="28"/>
                <w:szCs w:val="28"/>
              </w:rPr>
            </w:pPr>
            <w:r>
              <w:rPr>
                <w:rFonts w:hint="eastAsia" w:ascii="仿宋" w:hAnsi="仿宋" w:eastAsia="仿宋" w:cs="仿宋"/>
                <w:b/>
                <w:bCs/>
                <w:sz w:val="28"/>
                <w:szCs w:val="2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供销流通管理</w:t>
            </w:r>
          </w:p>
        </w:tc>
        <w:tc>
          <w:tcPr>
            <w:tcW w:w="1276" w:type="dxa"/>
            <w:vAlign w:val="center"/>
          </w:tcPr>
          <w:p>
            <w:pPr>
              <w:spacing w:line="300" w:lineRule="exact"/>
              <w:jc w:val="left"/>
              <w:rPr>
                <w:rFonts w:ascii="仿宋" w:hAnsi="仿宋" w:eastAsia="仿宋" w:cs="Times New Roman"/>
                <w:sz w:val="28"/>
                <w:szCs w:val="28"/>
              </w:rPr>
            </w:pPr>
          </w:p>
        </w:tc>
        <w:tc>
          <w:tcPr>
            <w:tcW w:w="2976"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贯彻落实党和政府商业流通有关方针政策，研究制定行业发展战略和规划，组织指导行业改革发展，负责行业管理，开展教育培训，维护合法权益</w:t>
            </w:r>
          </w:p>
        </w:tc>
        <w:tc>
          <w:tcPr>
            <w:tcW w:w="2976" w:type="dxa"/>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确保供销社事业改革、发展和壮大、发挥供销社在商业流通服务的作用</w:t>
            </w:r>
          </w:p>
        </w:tc>
        <w:tc>
          <w:tcPr>
            <w:tcW w:w="1417" w:type="dxa"/>
            <w:gridSpan w:val="2"/>
            <w:vAlign w:val="center"/>
          </w:tcPr>
          <w:p>
            <w:pPr>
              <w:spacing w:line="300" w:lineRule="exact"/>
              <w:jc w:val="left"/>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发展现代流通网络建设及管理</w:t>
            </w:r>
          </w:p>
        </w:tc>
        <w:tc>
          <w:tcPr>
            <w:tcW w:w="1276" w:type="dxa"/>
            <w:vMerge w:val="restart"/>
            <w:vAlign w:val="center"/>
          </w:tcPr>
          <w:p>
            <w:pPr>
              <w:spacing w:line="300" w:lineRule="exact"/>
              <w:jc w:val="left"/>
              <w:rPr>
                <w:rFonts w:ascii="仿宋" w:hAnsi="仿宋" w:eastAsia="仿宋" w:cs="Times New Roman"/>
                <w:sz w:val="28"/>
                <w:szCs w:val="28"/>
              </w:rPr>
            </w:pPr>
          </w:p>
        </w:tc>
        <w:tc>
          <w:tcPr>
            <w:tcW w:w="2976" w:type="dxa"/>
            <w:gridSpan w:val="2"/>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落实供销社系统现代流通网络建设，加快服务创新、经营创新和业态创新，优化网络布局，完善网络体系，发挥一网多用、双向流通的作用，在农资供应、农产品流通、农村服务等重点领域和环节为农民提供便利实惠、安全优质的服务。</w:t>
            </w:r>
          </w:p>
        </w:tc>
        <w:tc>
          <w:tcPr>
            <w:tcW w:w="2976" w:type="dxa"/>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健全农资、农副产品、日用消费品、再生资源回收利用四大网络，加快形成连锁化、规模化、品牌化经营服务新格局；发展农村电子商务，形成网上交易、仓储物流、终端配送一体化经营，推动线上线下融合发展。</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连锁经营销售额占全县供销社销售额比重</w:t>
            </w:r>
          </w:p>
        </w:tc>
        <w:tc>
          <w:tcPr>
            <w:tcW w:w="776"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15%</w:t>
            </w:r>
          </w:p>
        </w:tc>
        <w:tc>
          <w:tcPr>
            <w:tcW w:w="776"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12%</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10%</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全县供销社流通网络购销总额增长率</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5%</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3%</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社属企业运营管理及建设</w:t>
            </w:r>
          </w:p>
        </w:tc>
        <w:tc>
          <w:tcPr>
            <w:tcW w:w="1276" w:type="dxa"/>
            <w:vMerge w:val="restart"/>
            <w:vAlign w:val="center"/>
          </w:tcPr>
          <w:p>
            <w:pPr>
              <w:spacing w:line="300" w:lineRule="exact"/>
              <w:jc w:val="left"/>
              <w:rPr>
                <w:rFonts w:ascii="仿宋" w:hAnsi="仿宋" w:eastAsia="仿宋" w:cs="Times New Roman"/>
                <w:sz w:val="28"/>
                <w:szCs w:val="28"/>
              </w:rPr>
            </w:pPr>
          </w:p>
        </w:tc>
        <w:tc>
          <w:tcPr>
            <w:tcW w:w="2976" w:type="dxa"/>
            <w:gridSpan w:val="2"/>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指导社属企业经营管理，对社属企业进行监督检查，完善企业运营管理制度并监督执行，行使出资人职能、确保社有资产的安全和增值</w:t>
            </w:r>
          </w:p>
        </w:tc>
        <w:tc>
          <w:tcPr>
            <w:tcW w:w="2976" w:type="dxa"/>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社有企业实现跨越式发展，供销社体制机制明显优化，营业收入、利润总额和净资产均有不同程度增长。</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利润总额增长率</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5%</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4.5%</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营业收入增长率</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5%</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4.5%</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社有资产增值比率</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5%</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4.5%</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服务三农事务管理</w:t>
            </w:r>
          </w:p>
        </w:tc>
        <w:tc>
          <w:tcPr>
            <w:tcW w:w="1276" w:type="dxa"/>
            <w:vAlign w:val="center"/>
          </w:tcPr>
          <w:p>
            <w:pPr>
              <w:spacing w:line="300" w:lineRule="exact"/>
              <w:jc w:val="left"/>
              <w:rPr>
                <w:rFonts w:ascii="仿宋" w:hAnsi="仿宋" w:eastAsia="仿宋" w:cs="Times New Roman"/>
                <w:sz w:val="28"/>
                <w:szCs w:val="28"/>
              </w:rPr>
            </w:pPr>
          </w:p>
        </w:tc>
        <w:tc>
          <w:tcPr>
            <w:tcW w:w="2976"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贯彻落实党和政府有关</w:t>
            </w:r>
            <w:r>
              <w:rPr>
                <w:rFonts w:ascii="仿宋" w:hAnsi="仿宋" w:eastAsia="仿宋" w:cs="仿宋"/>
                <w:sz w:val="28"/>
                <w:szCs w:val="28"/>
              </w:rPr>
              <w:t xml:space="preserve"> </w:t>
            </w:r>
            <w:r>
              <w:rPr>
                <w:rFonts w:hint="eastAsia" w:ascii="仿宋" w:hAnsi="仿宋" w:eastAsia="仿宋" w:cs="仿宋"/>
                <w:sz w:val="28"/>
                <w:szCs w:val="28"/>
              </w:rPr>
              <w:t>服务“三农”方针政策，以供销合作社体系为依托，自下而上组建农民合作社联合社、创新组织体系、服务体系和农村金融体系</w:t>
            </w:r>
          </w:p>
        </w:tc>
        <w:tc>
          <w:tcPr>
            <w:tcW w:w="2976" w:type="dxa"/>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紧紧围绕“三农”工作大局，以密切与农民利益联结为核心，以提升为农服务能力为根本，以强化基</w:t>
            </w:r>
            <w:r>
              <w:rPr>
                <w:rFonts w:ascii="仿宋" w:hAnsi="仿宋" w:eastAsia="仿宋" w:cs="仿宋"/>
                <w:sz w:val="28"/>
                <w:szCs w:val="28"/>
              </w:rPr>
              <w:t xml:space="preserve"> </w:t>
            </w:r>
            <w:r>
              <w:rPr>
                <w:rFonts w:hint="eastAsia" w:ascii="仿宋" w:hAnsi="仿宋" w:eastAsia="仿宋" w:cs="仿宋"/>
                <w:sz w:val="28"/>
                <w:szCs w:val="28"/>
              </w:rPr>
              <w:t>层社和创新联合社治理机制为重点，按照政事分开、社企分开的方向，推进体制改革和机制创新，加快建成适应社会主义市场经济需要、适应城乡发展一体化需要、适应中国特色农业现代化需要的组织体系和服务机制。</w:t>
            </w:r>
          </w:p>
        </w:tc>
        <w:tc>
          <w:tcPr>
            <w:tcW w:w="1417" w:type="dxa"/>
            <w:gridSpan w:val="2"/>
            <w:vAlign w:val="center"/>
          </w:tcPr>
          <w:p>
            <w:pPr>
              <w:spacing w:line="300" w:lineRule="exact"/>
              <w:jc w:val="left"/>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　组织体系建设</w:t>
            </w:r>
          </w:p>
        </w:tc>
        <w:tc>
          <w:tcPr>
            <w:tcW w:w="1276" w:type="dxa"/>
            <w:vMerge w:val="restart"/>
            <w:vAlign w:val="center"/>
          </w:tcPr>
          <w:p>
            <w:pPr>
              <w:spacing w:line="300" w:lineRule="exact"/>
              <w:jc w:val="left"/>
              <w:rPr>
                <w:rFonts w:ascii="仿宋" w:hAnsi="仿宋" w:eastAsia="仿宋" w:cs="Times New Roman"/>
                <w:sz w:val="28"/>
                <w:szCs w:val="28"/>
              </w:rPr>
            </w:pPr>
          </w:p>
        </w:tc>
        <w:tc>
          <w:tcPr>
            <w:tcW w:w="2976" w:type="dxa"/>
            <w:gridSpan w:val="2"/>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以供销合作社体系为依托，自下而上组建农民合作社联合社</w:t>
            </w:r>
          </w:p>
        </w:tc>
        <w:tc>
          <w:tcPr>
            <w:tcW w:w="2976" w:type="dxa"/>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组建农民合作社联合社</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带动区域内产业发展个数</w:t>
            </w:r>
          </w:p>
        </w:tc>
        <w:tc>
          <w:tcPr>
            <w:tcW w:w="776" w:type="dxa"/>
            <w:vAlign w:val="center"/>
          </w:tcPr>
          <w:p>
            <w:pPr>
              <w:spacing w:line="300" w:lineRule="exact"/>
              <w:jc w:val="center"/>
              <w:rPr>
                <w:rFonts w:ascii="仿宋" w:hAnsi="仿宋" w:eastAsia="仿宋" w:cs="Times New Roman"/>
                <w:sz w:val="28"/>
                <w:szCs w:val="28"/>
              </w:rPr>
            </w:pPr>
            <w:r>
              <w:rPr>
                <w:rFonts w:ascii="仿宋" w:hAnsi="仿宋" w:eastAsia="仿宋" w:cs="仿宋"/>
                <w:sz w:val="28"/>
                <w:szCs w:val="28"/>
              </w:rPr>
              <w:t>2</w:t>
            </w:r>
          </w:p>
        </w:tc>
        <w:tc>
          <w:tcPr>
            <w:tcW w:w="776" w:type="dxa"/>
            <w:vAlign w:val="center"/>
          </w:tcPr>
          <w:p>
            <w:pPr>
              <w:spacing w:line="300" w:lineRule="exact"/>
              <w:jc w:val="center"/>
              <w:rPr>
                <w:rFonts w:ascii="仿宋" w:hAnsi="仿宋" w:eastAsia="仿宋" w:cs="Times New Roman"/>
                <w:sz w:val="28"/>
                <w:szCs w:val="28"/>
              </w:rPr>
            </w:pPr>
            <w:r>
              <w:rPr>
                <w:rFonts w:ascii="仿宋" w:hAnsi="仿宋" w:eastAsia="仿宋" w:cs="仿宋"/>
                <w:sz w:val="28"/>
                <w:szCs w:val="28"/>
              </w:rPr>
              <w:t>1</w:t>
            </w: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r>
              <w:rPr>
                <w:rFonts w:ascii="仿宋" w:hAnsi="仿宋" w:eastAsia="仿宋" w:cs="仿宋"/>
                <w:sz w:val="28"/>
                <w:szCs w:val="28"/>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联合农民专业合作社个数</w:t>
            </w:r>
          </w:p>
        </w:tc>
        <w:tc>
          <w:tcPr>
            <w:tcW w:w="776"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10</w:t>
            </w:r>
          </w:p>
        </w:tc>
        <w:tc>
          <w:tcPr>
            <w:tcW w:w="776"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7</w:t>
            </w:r>
          </w:p>
        </w:tc>
        <w:tc>
          <w:tcPr>
            <w:tcW w:w="737" w:type="dxa"/>
            <w:vAlign w:val="center"/>
          </w:tcPr>
          <w:p>
            <w:pPr>
              <w:spacing w:line="300" w:lineRule="exact"/>
              <w:jc w:val="center"/>
              <w:rPr>
                <w:rFonts w:ascii="仿宋" w:hAnsi="仿宋" w:eastAsia="仿宋" w:cs="Times New Roman"/>
                <w:sz w:val="28"/>
                <w:szCs w:val="28"/>
              </w:rPr>
            </w:pPr>
            <w:r>
              <w:rPr>
                <w:rFonts w:ascii="仿宋" w:hAnsi="仿宋" w:eastAsia="仿宋" w:cs="仿宋"/>
                <w:sz w:val="28"/>
                <w:szCs w:val="28"/>
              </w:rPr>
              <w:t>5</w:t>
            </w:r>
          </w:p>
        </w:tc>
        <w:tc>
          <w:tcPr>
            <w:tcW w:w="737"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　服务体系建设</w:t>
            </w:r>
          </w:p>
        </w:tc>
        <w:tc>
          <w:tcPr>
            <w:tcW w:w="1276" w:type="dxa"/>
            <w:vMerge w:val="restart"/>
            <w:vAlign w:val="center"/>
          </w:tcPr>
          <w:p>
            <w:pPr>
              <w:spacing w:line="300" w:lineRule="exact"/>
              <w:jc w:val="left"/>
              <w:rPr>
                <w:rFonts w:ascii="仿宋" w:hAnsi="仿宋" w:eastAsia="仿宋" w:cs="Times New Roman"/>
                <w:sz w:val="28"/>
                <w:szCs w:val="28"/>
              </w:rPr>
            </w:pPr>
          </w:p>
        </w:tc>
        <w:tc>
          <w:tcPr>
            <w:tcW w:w="2976" w:type="dxa"/>
            <w:gridSpan w:val="2"/>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供销合作社要把为农服务放在首位。面向农业现代化、面向农民生产生活，推动供销合作社由流通服务向全程农业社会化服务延伸、向全方位城乡社区服务拓展，</w:t>
            </w:r>
            <w:r>
              <w:rPr>
                <w:rFonts w:ascii="仿宋" w:hAnsi="仿宋" w:eastAsia="仿宋" w:cs="仿宋"/>
                <w:sz w:val="28"/>
                <w:szCs w:val="28"/>
              </w:rPr>
              <w:t xml:space="preserve"> </w:t>
            </w:r>
            <w:r>
              <w:rPr>
                <w:rFonts w:hint="eastAsia" w:ascii="仿宋" w:hAnsi="仿宋" w:eastAsia="仿宋" w:cs="仿宋"/>
                <w:sz w:val="28"/>
                <w:szCs w:val="28"/>
              </w:rPr>
              <w:t>参与农业综合开发，加快形成综合性、规模化、可持续的为农服务体系，在农资供应、农产品流通、农民技能培训等重点领域和环节为农民提供便利实惠、安全优质的服务</w:t>
            </w:r>
          </w:p>
        </w:tc>
        <w:tc>
          <w:tcPr>
            <w:tcW w:w="2976" w:type="dxa"/>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把供销合作社系统打造成为与农民联结更紧密、为农服务功能更完备、市场化运行更高效的合作经济组织体系，成为服务农民生产生活的生力军和综合平台，成为党和政府密切联系农民群众的桥梁纽带，切实在农业现代化建设中更好地发挥作用。</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服务体系覆盖率</w:t>
            </w:r>
          </w:p>
        </w:tc>
        <w:tc>
          <w:tcPr>
            <w:tcW w:w="776"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80%</w:t>
            </w:r>
          </w:p>
        </w:tc>
        <w:tc>
          <w:tcPr>
            <w:tcW w:w="776"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60%</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50%</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示范性培训新型农民和农村实用技能人才人次</w:t>
            </w:r>
          </w:p>
        </w:tc>
        <w:tc>
          <w:tcPr>
            <w:tcW w:w="776" w:type="dxa"/>
            <w:vAlign w:val="center"/>
          </w:tcPr>
          <w:p>
            <w:pPr>
              <w:spacing w:line="300" w:lineRule="exact"/>
              <w:jc w:val="center"/>
              <w:rPr>
                <w:rFonts w:ascii="仿宋" w:hAnsi="仿宋" w:eastAsia="仿宋" w:cs="Times New Roman"/>
                <w:sz w:val="28"/>
                <w:szCs w:val="28"/>
              </w:rPr>
            </w:pPr>
            <w:r>
              <w:rPr>
                <w:rFonts w:ascii="仿宋" w:hAnsi="仿宋" w:eastAsia="仿宋" w:cs="仿宋"/>
                <w:sz w:val="28"/>
                <w:szCs w:val="28"/>
              </w:rPr>
              <w:t>200</w:t>
            </w:r>
            <w:r>
              <w:rPr>
                <w:rFonts w:hint="eastAsia" w:ascii="仿宋" w:hAnsi="仿宋" w:eastAsia="仿宋" w:cs="仿宋"/>
                <w:sz w:val="28"/>
                <w:szCs w:val="28"/>
              </w:rPr>
              <w:t>以上</w:t>
            </w:r>
          </w:p>
        </w:tc>
        <w:tc>
          <w:tcPr>
            <w:tcW w:w="776"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r>
              <w:rPr>
                <w:rFonts w:ascii="仿宋" w:hAnsi="仿宋" w:eastAsia="仿宋" w:cs="仿宋"/>
                <w:sz w:val="28"/>
                <w:szCs w:val="28"/>
              </w:rPr>
              <w:t>200</w:t>
            </w:r>
            <w:r>
              <w:rPr>
                <w:rFonts w:hint="eastAsia" w:ascii="仿宋" w:hAnsi="仿宋" w:eastAsia="仿宋" w:cs="仿宋"/>
                <w:sz w:val="28"/>
                <w:szCs w:val="28"/>
              </w:rPr>
              <w:t>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农村社区综合服务中心（社、站）数量</w:t>
            </w:r>
          </w:p>
        </w:tc>
        <w:tc>
          <w:tcPr>
            <w:tcW w:w="776"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w:t>
            </w:r>
          </w:p>
        </w:tc>
        <w:tc>
          <w:tcPr>
            <w:tcW w:w="776"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创新农村金融体系建设</w:t>
            </w:r>
          </w:p>
        </w:tc>
        <w:tc>
          <w:tcPr>
            <w:tcW w:w="1276" w:type="dxa"/>
            <w:vMerge w:val="restart"/>
            <w:vAlign w:val="center"/>
          </w:tcPr>
          <w:p>
            <w:pPr>
              <w:spacing w:line="300" w:lineRule="exact"/>
              <w:jc w:val="left"/>
              <w:rPr>
                <w:rFonts w:ascii="仿宋" w:hAnsi="仿宋" w:eastAsia="仿宋" w:cs="Times New Roman"/>
                <w:sz w:val="28"/>
                <w:szCs w:val="28"/>
              </w:rPr>
            </w:pPr>
          </w:p>
        </w:tc>
        <w:tc>
          <w:tcPr>
            <w:tcW w:w="2976" w:type="dxa"/>
            <w:gridSpan w:val="2"/>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创新金融服务方式和手段，创建农村合作金融服务体系，以企业为主体，以市场为导向，通过组织上积极引导、利益上不断凝聚、服务上广泛吸引，整合投资管理、农村产权交易、融资担保、合作保险和农产品电商等业态，稳步开展农村合作金融服务，实现服务三农、普惠金融目标，真正将供销社打造成上下贯通、利益链接、一体化运营的为农服务的生力军和综合平台</w:t>
            </w:r>
          </w:p>
        </w:tc>
        <w:tc>
          <w:tcPr>
            <w:tcW w:w="2976" w:type="dxa"/>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创建农村合作金融体系</w:t>
            </w:r>
            <w:r>
              <w:rPr>
                <w:rFonts w:ascii="仿宋" w:hAnsi="仿宋" w:eastAsia="仿宋" w:cs="仿宋"/>
                <w:sz w:val="28"/>
                <w:szCs w:val="28"/>
              </w:rPr>
              <w:t>,</w:t>
            </w:r>
            <w:r>
              <w:rPr>
                <w:rFonts w:hint="eastAsia" w:ascii="仿宋" w:hAnsi="仿宋" w:eastAsia="仿宋" w:cs="仿宋"/>
                <w:sz w:val="28"/>
                <w:szCs w:val="28"/>
              </w:rPr>
              <w:t>拓宽“三农”融资的渠道，按照统一要求、标准、计划，完成各项工作的建设任务，实现供销社合作金融体系上下贯通、利益链接、一体化运营。初步实现供销金融超市全县基层全覆盖</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金融超市和村级助农服务网点数量（家）</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50</w:t>
            </w:r>
          </w:p>
        </w:tc>
        <w:tc>
          <w:tcPr>
            <w:tcW w:w="776"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建设金融超市和村级助农服务网点数量（家）</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5</w:t>
            </w:r>
          </w:p>
        </w:tc>
        <w:tc>
          <w:tcPr>
            <w:tcW w:w="776"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&lt;5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物资储备管理</w:t>
            </w:r>
          </w:p>
        </w:tc>
        <w:tc>
          <w:tcPr>
            <w:tcW w:w="1276" w:type="dxa"/>
            <w:vAlign w:val="center"/>
          </w:tcPr>
          <w:p>
            <w:pPr>
              <w:spacing w:line="300" w:lineRule="exact"/>
              <w:jc w:val="left"/>
              <w:rPr>
                <w:rFonts w:ascii="仿宋" w:hAnsi="仿宋" w:eastAsia="仿宋" w:cs="Times New Roman"/>
                <w:sz w:val="28"/>
                <w:szCs w:val="28"/>
              </w:rPr>
            </w:pPr>
          </w:p>
        </w:tc>
        <w:tc>
          <w:tcPr>
            <w:tcW w:w="2976"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按照政府授权，承担管理食盐及救灾物资等重要物资的储备任务</w:t>
            </w:r>
          </w:p>
        </w:tc>
        <w:tc>
          <w:tcPr>
            <w:tcW w:w="2976" w:type="dxa"/>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充分发挥供销社在流通领域的应急调控作用</w:t>
            </w:r>
          </w:p>
        </w:tc>
        <w:tc>
          <w:tcPr>
            <w:tcW w:w="1417" w:type="dxa"/>
            <w:gridSpan w:val="2"/>
            <w:vAlign w:val="center"/>
          </w:tcPr>
          <w:p>
            <w:pPr>
              <w:spacing w:line="300" w:lineRule="exact"/>
              <w:jc w:val="left"/>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重要商品物资储备及监管</w:t>
            </w:r>
          </w:p>
        </w:tc>
        <w:tc>
          <w:tcPr>
            <w:tcW w:w="1276" w:type="dxa"/>
            <w:vMerge w:val="restart"/>
            <w:vAlign w:val="center"/>
          </w:tcPr>
          <w:p>
            <w:pPr>
              <w:spacing w:line="300" w:lineRule="exact"/>
              <w:jc w:val="left"/>
              <w:rPr>
                <w:rFonts w:ascii="仿宋" w:hAnsi="仿宋" w:eastAsia="仿宋" w:cs="Times New Roman"/>
                <w:sz w:val="28"/>
                <w:szCs w:val="28"/>
              </w:rPr>
            </w:pPr>
          </w:p>
        </w:tc>
        <w:tc>
          <w:tcPr>
            <w:tcW w:w="2976" w:type="dxa"/>
            <w:gridSpan w:val="2"/>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调节商品供求关系，稳定物价、保障市场供应、保证防汛救灾的需要、增强政府对市场的宏观调控能力和应急保障</w:t>
            </w:r>
          </w:p>
        </w:tc>
        <w:tc>
          <w:tcPr>
            <w:tcW w:w="2976" w:type="dxa"/>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安排、组织代储企业依据储备计划及时足额、保质保量做好储备商品的收储、轮换等工作</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质量良好率</w:t>
            </w:r>
          </w:p>
        </w:tc>
        <w:tc>
          <w:tcPr>
            <w:tcW w:w="776" w:type="dxa"/>
            <w:vAlign w:val="center"/>
          </w:tcPr>
          <w:p>
            <w:pPr>
              <w:spacing w:line="300" w:lineRule="exact"/>
              <w:jc w:val="center"/>
              <w:rPr>
                <w:rFonts w:ascii="仿宋" w:hAnsi="仿宋" w:eastAsia="仿宋" w:cs="Times New Roman"/>
                <w:sz w:val="28"/>
                <w:szCs w:val="28"/>
              </w:rPr>
            </w:pPr>
            <w:r>
              <w:rPr>
                <w:rFonts w:ascii="仿宋" w:hAnsi="仿宋" w:eastAsia="仿宋" w:cs="仿宋"/>
                <w:sz w:val="28"/>
                <w:szCs w:val="28"/>
              </w:rPr>
              <w:t>100%</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95%</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85%</w:t>
            </w:r>
          </w:p>
        </w:tc>
        <w:tc>
          <w:tcPr>
            <w:tcW w:w="737" w:type="dxa"/>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储备计划完成率</w:t>
            </w:r>
          </w:p>
        </w:tc>
        <w:tc>
          <w:tcPr>
            <w:tcW w:w="776"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100%</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95%</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90%</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盐务管理</w:t>
            </w:r>
          </w:p>
        </w:tc>
        <w:tc>
          <w:tcPr>
            <w:tcW w:w="1276" w:type="dxa"/>
            <w:vAlign w:val="center"/>
          </w:tcPr>
          <w:p>
            <w:pPr>
              <w:spacing w:line="300" w:lineRule="exact"/>
              <w:jc w:val="left"/>
              <w:rPr>
                <w:rFonts w:ascii="仿宋" w:hAnsi="仿宋" w:eastAsia="仿宋" w:cs="Times New Roman"/>
                <w:sz w:val="28"/>
                <w:szCs w:val="28"/>
              </w:rPr>
            </w:pPr>
          </w:p>
        </w:tc>
        <w:tc>
          <w:tcPr>
            <w:tcW w:w="2976"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组织开展全县盐业行政执法活动，打击盐业违法行为、对直属企业进行改革和管理</w:t>
            </w:r>
          </w:p>
        </w:tc>
        <w:tc>
          <w:tcPr>
            <w:tcW w:w="2976" w:type="dxa"/>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保障食盐在流通环节的安全</w:t>
            </w:r>
          </w:p>
        </w:tc>
        <w:tc>
          <w:tcPr>
            <w:tcW w:w="1417" w:type="dxa"/>
            <w:gridSpan w:val="2"/>
            <w:vAlign w:val="center"/>
          </w:tcPr>
          <w:p>
            <w:pPr>
              <w:spacing w:line="300" w:lineRule="exact"/>
              <w:jc w:val="left"/>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组织实施盐政执法</w:t>
            </w:r>
          </w:p>
        </w:tc>
        <w:tc>
          <w:tcPr>
            <w:tcW w:w="1276" w:type="dxa"/>
            <w:vMerge w:val="restart"/>
            <w:vAlign w:val="center"/>
          </w:tcPr>
          <w:p>
            <w:pPr>
              <w:spacing w:line="300" w:lineRule="exact"/>
              <w:jc w:val="left"/>
              <w:rPr>
                <w:rFonts w:ascii="仿宋" w:hAnsi="仿宋" w:eastAsia="仿宋" w:cs="Times New Roman"/>
                <w:sz w:val="28"/>
                <w:szCs w:val="28"/>
              </w:rPr>
            </w:pPr>
          </w:p>
        </w:tc>
        <w:tc>
          <w:tcPr>
            <w:tcW w:w="2976" w:type="dxa"/>
            <w:gridSpan w:val="2"/>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组织开展全县盐业行政执法活动，打击盐业违法行为，查处重大盐业违法案件。规范盐业行政执法案件程序和执法案卷；追究执法过错责任，纠正违法执法行为</w:t>
            </w:r>
          </w:p>
        </w:tc>
        <w:tc>
          <w:tcPr>
            <w:tcW w:w="2976" w:type="dxa"/>
            <w:vMerge w:val="restart"/>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全县盐业违法行为得到有效打击和遏制，实现食盐安全生产和流通</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食盐产品合格率</w:t>
            </w:r>
          </w:p>
        </w:tc>
        <w:tc>
          <w:tcPr>
            <w:tcW w:w="776"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100%</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98%</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96%</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盐业执法人员培训考核通过率</w:t>
            </w:r>
          </w:p>
        </w:tc>
        <w:tc>
          <w:tcPr>
            <w:tcW w:w="776"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100%</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98%</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96%</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vAlign w:val="center"/>
          </w:tcPr>
          <w:p>
            <w:pPr>
              <w:spacing w:line="300" w:lineRule="exact"/>
              <w:jc w:val="left"/>
              <w:rPr>
                <w:rFonts w:ascii="仿宋" w:hAnsi="仿宋" w:eastAsia="仿宋" w:cs="Times New Roman"/>
                <w:b/>
                <w:bCs/>
                <w:sz w:val="28"/>
                <w:szCs w:val="28"/>
              </w:rPr>
            </w:pPr>
          </w:p>
        </w:tc>
        <w:tc>
          <w:tcPr>
            <w:tcW w:w="1276" w:type="dxa"/>
            <w:vMerge w:val="continue"/>
            <w:vAlign w:val="center"/>
          </w:tcPr>
          <w:p>
            <w:pPr>
              <w:spacing w:line="300" w:lineRule="exact"/>
              <w:jc w:val="left"/>
              <w:rPr>
                <w:rFonts w:ascii="仿宋" w:hAnsi="仿宋" w:eastAsia="仿宋" w:cs="Times New Roman"/>
                <w:sz w:val="28"/>
                <w:szCs w:val="28"/>
              </w:rPr>
            </w:pPr>
          </w:p>
        </w:tc>
        <w:tc>
          <w:tcPr>
            <w:tcW w:w="2976" w:type="dxa"/>
            <w:gridSpan w:val="2"/>
            <w:vMerge w:val="continue"/>
            <w:vAlign w:val="center"/>
          </w:tcPr>
          <w:p>
            <w:pPr>
              <w:spacing w:line="300" w:lineRule="exact"/>
              <w:jc w:val="left"/>
              <w:rPr>
                <w:rFonts w:ascii="仿宋" w:hAnsi="仿宋" w:eastAsia="仿宋" w:cs="Times New Roman"/>
                <w:sz w:val="28"/>
                <w:szCs w:val="28"/>
              </w:rPr>
            </w:pPr>
          </w:p>
        </w:tc>
        <w:tc>
          <w:tcPr>
            <w:tcW w:w="2976" w:type="dxa"/>
            <w:vMerge w:val="continue"/>
            <w:vAlign w:val="center"/>
          </w:tcPr>
          <w:p>
            <w:pPr>
              <w:spacing w:line="300" w:lineRule="exact"/>
              <w:jc w:val="left"/>
              <w:rPr>
                <w:rFonts w:ascii="仿宋" w:hAnsi="仿宋" w:eastAsia="仿宋" w:cs="Times New Roman"/>
                <w:sz w:val="28"/>
                <w:szCs w:val="28"/>
              </w:rPr>
            </w:pP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重大盐业违法行为、案件处理率</w:t>
            </w:r>
          </w:p>
        </w:tc>
        <w:tc>
          <w:tcPr>
            <w:tcW w:w="776"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100%</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98%</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96%</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　　</w:t>
            </w:r>
          </w:p>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盐业体制改革</w:t>
            </w:r>
          </w:p>
        </w:tc>
        <w:tc>
          <w:tcPr>
            <w:tcW w:w="1276" w:type="dxa"/>
            <w:vAlign w:val="center"/>
          </w:tcPr>
          <w:p>
            <w:pPr>
              <w:spacing w:line="300" w:lineRule="exact"/>
              <w:jc w:val="left"/>
              <w:rPr>
                <w:rFonts w:ascii="仿宋" w:hAnsi="仿宋" w:eastAsia="仿宋" w:cs="Times New Roman"/>
                <w:sz w:val="28"/>
                <w:szCs w:val="28"/>
              </w:rPr>
            </w:pPr>
          </w:p>
        </w:tc>
        <w:tc>
          <w:tcPr>
            <w:tcW w:w="2976"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按照县政府安排推动盐业体制改革工作</w:t>
            </w:r>
          </w:p>
        </w:tc>
        <w:tc>
          <w:tcPr>
            <w:tcW w:w="2976" w:type="dxa"/>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完成县政府交办的改革任务</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县政府改革任务完成率</w:t>
            </w:r>
          </w:p>
        </w:tc>
        <w:tc>
          <w:tcPr>
            <w:tcW w:w="776"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100%</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80%</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60%</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供销合作政务管理</w:t>
            </w:r>
          </w:p>
        </w:tc>
        <w:tc>
          <w:tcPr>
            <w:tcW w:w="1276" w:type="dxa"/>
            <w:vAlign w:val="center"/>
          </w:tcPr>
          <w:p>
            <w:pPr>
              <w:spacing w:line="300" w:lineRule="exact"/>
              <w:jc w:val="left"/>
              <w:rPr>
                <w:rFonts w:ascii="仿宋" w:hAnsi="仿宋" w:eastAsia="仿宋" w:cs="Times New Roman"/>
                <w:sz w:val="28"/>
                <w:szCs w:val="28"/>
              </w:rPr>
            </w:pPr>
          </w:p>
        </w:tc>
        <w:tc>
          <w:tcPr>
            <w:tcW w:w="2976"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负责供销合作社系统综合业务管理和机关综合事务管理</w:t>
            </w:r>
          </w:p>
        </w:tc>
        <w:tc>
          <w:tcPr>
            <w:tcW w:w="2976" w:type="dxa"/>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确保各项业务工作谋划到位、顺利开展</w:t>
            </w:r>
            <w:r>
              <w:rPr>
                <w:rFonts w:ascii="仿宋" w:hAnsi="仿宋" w:eastAsia="仿宋" w:cs="仿宋"/>
                <w:sz w:val="28"/>
                <w:szCs w:val="28"/>
              </w:rPr>
              <w:t>,</w:t>
            </w:r>
            <w:r>
              <w:rPr>
                <w:rFonts w:hint="eastAsia" w:ascii="仿宋" w:hAnsi="仿宋" w:eastAsia="仿宋" w:cs="仿宋"/>
                <w:sz w:val="28"/>
                <w:szCs w:val="28"/>
              </w:rPr>
              <w:t>保障机关工作正常高效运转</w:t>
            </w:r>
          </w:p>
        </w:tc>
        <w:tc>
          <w:tcPr>
            <w:tcW w:w="1417" w:type="dxa"/>
            <w:gridSpan w:val="2"/>
            <w:vAlign w:val="center"/>
          </w:tcPr>
          <w:p>
            <w:pPr>
              <w:spacing w:line="300" w:lineRule="exact"/>
              <w:jc w:val="left"/>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76"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c>
          <w:tcPr>
            <w:tcW w:w="737" w:type="dxa"/>
            <w:vAlign w:val="center"/>
          </w:tcPr>
          <w:p>
            <w:pPr>
              <w:spacing w:line="300" w:lineRule="exact"/>
              <w:jc w:val="center"/>
              <w:rPr>
                <w:rFonts w:ascii="仿宋" w:hAnsi="仿宋" w:eastAsia="仿宋" w:cs="Times New Roman"/>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综合业务管理</w:t>
            </w:r>
          </w:p>
        </w:tc>
        <w:tc>
          <w:tcPr>
            <w:tcW w:w="1276" w:type="dxa"/>
            <w:vAlign w:val="center"/>
          </w:tcPr>
          <w:p>
            <w:pPr>
              <w:spacing w:line="300" w:lineRule="exact"/>
              <w:jc w:val="left"/>
              <w:rPr>
                <w:rFonts w:ascii="仿宋" w:hAnsi="仿宋" w:eastAsia="仿宋" w:cs="Times New Roman"/>
                <w:sz w:val="28"/>
                <w:szCs w:val="28"/>
              </w:rPr>
            </w:pPr>
          </w:p>
        </w:tc>
        <w:tc>
          <w:tcPr>
            <w:tcW w:w="2976"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制订系统发展战略和规划、指导系统业务活动和综合改革试点及事业发展；开展行业调查研究，制定相关行业政策、法规规章制度；信访接待、业务宣传、政务信息公开等工作。</w:t>
            </w:r>
          </w:p>
        </w:tc>
        <w:tc>
          <w:tcPr>
            <w:tcW w:w="2976" w:type="dxa"/>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确保各项业务工作谋划到位、顺利开展</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系统业务活动完成率</w:t>
            </w:r>
          </w:p>
        </w:tc>
        <w:tc>
          <w:tcPr>
            <w:tcW w:w="776"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100%</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95%</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90%</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jc w:val="left"/>
              <w:rPr>
                <w:rFonts w:ascii="仿宋" w:hAnsi="仿宋" w:eastAsia="仿宋" w:cs="Times New Roman"/>
                <w:b/>
                <w:bCs/>
                <w:sz w:val="28"/>
                <w:szCs w:val="28"/>
              </w:rPr>
            </w:pPr>
            <w:r>
              <w:rPr>
                <w:rFonts w:hint="eastAsia" w:ascii="仿宋" w:hAnsi="仿宋" w:eastAsia="仿宋" w:cs="仿宋"/>
                <w:b/>
                <w:bCs/>
                <w:sz w:val="28"/>
                <w:szCs w:val="28"/>
              </w:rPr>
              <w:t>综合事务管理</w:t>
            </w:r>
          </w:p>
        </w:tc>
        <w:tc>
          <w:tcPr>
            <w:tcW w:w="1276" w:type="dxa"/>
            <w:vAlign w:val="center"/>
          </w:tcPr>
          <w:p>
            <w:pPr>
              <w:spacing w:line="300" w:lineRule="exact"/>
              <w:jc w:val="left"/>
              <w:rPr>
                <w:rFonts w:ascii="仿宋" w:hAnsi="仿宋" w:eastAsia="仿宋" w:cs="Times New Roman"/>
                <w:sz w:val="28"/>
                <w:szCs w:val="28"/>
              </w:rPr>
            </w:pPr>
          </w:p>
        </w:tc>
        <w:tc>
          <w:tcPr>
            <w:tcW w:w="2976"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会议组织管理、信息化建设与维护、机关财务和资产管理、标准化建设、基建及维修、设备购置、人事管理、机关党工委工作、老干部工作等。</w:t>
            </w:r>
          </w:p>
        </w:tc>
        <w:tc>
          <w:tcPr>
            <w:tcW w:w="2976" w:type="dxa"/>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保障机关工作正常高效运转</w:t>
            </w:r>
          </w:p>
        </w:tc>
        <w:tc>
          <w:tcPr>
            <w:tcW w:w="1417" w:type="dxa"/>
            <w:gridSpan w:val="2"/>
            <w:vAlign w:val="center"/>
          </w:tcPr>
          <w:p>
            <w:pPr>
              <w:spacing w:line="300" w:lineRule="exact"/>
              <w:jc w:val="left"/>
              <w:rPr>
                <w:rFonts w:ascii="仿宋" w:hAnsi="仿宋" w:eastAsia="仿宋" w:cs="Times New Roman"/>
                <w:sz w:val="28"/>
                <w:szCs w:val="28"/>
              </w:rPr>
            </w:pPr>
            <w:r>
              <w:rPr>
                <w:rFonts w:hint="eastAsia" w:ascii="仿宋" w:hAnsi="仿宋" w:eastAsia="仿宋" w:cs="仿宋"/>
                <w:sz w:val="28"/>
                <w:szCs w:val="28"/>
              </w:rPr>
              <w:t>综合行政事务办结率</w:t>
            </w:r>
          </w:p>
        </w:tc>
        <w:tc>
          <w:tcPr>
            <w:tcW w:w="776" w:type="dxa"/>
            <w:vAlign w:val="center"/>
          </w:tcPr>
          <w:p>
            <w:pPr>
              <w:spacing w:line="300" w:lineRule="exact"/>
              <w:jc w:val="center"/>
              <w:rPr>
                <w:rFonts w:ascii="仿宋" w:hAnsi="仿宋" w:eastAsia="仿宋" w:cs="仿宋"/>
                <w:sz w:val="28"/>
                <w:szCs w:val="28"/>
              </w:rPr>
            </w:pPr>
            <w:r>
              <w:rPr>
                <w:rFonts w:ascii="仿宋" w:hAnsi="仿宋" w:eastAsia="仿宋" w:cs="仿宋"/>
                <w:sz w:val="28"/>
                <w:szCs w:val="28"/>
              </w:rPr>
              <w:t>100%</w:t>
            </w:r>
          </w:p>
        </w:tc>
        <w:tc>
          <w:tcPr>
            <w:tcW w:w="776"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95%</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90%</w:t>
            </w:r>
          </w:p>
        </w:tc>
        <w:tc>
          <w:tcPr>
            <w:tcW w:w="737" w:type="dxa"/>
            <w:vAlign w:val="center"/>
          </w:tcPr>
          <w:p>
            <w:pPr>
              <w:spacing w:line="300" w:lineRule="exact"/>
              <w:jc w:val="center"/>
              <w:rPr>
                <w:rFonts w:ascii="仿宋" w:hAnsi="仿宋" w:eastAsia="仿宋" w:cs="Times New Roman"/>
                <w:sz w:val="28"/>
                <w:szCs w:val="28"/>
              </w:rPr>
            </w:pPr>
            <w:r>
              <w:rPr>
                <w:rFonts w:hint="eastAsia" w:ascii="仿宋" w:hAnsi="仿宋" w:eastAsia="仿宋" w:cs="仿宋"/>
                <w:sz w:val="28"/>
                <w:szCs w:val="28"/>
              </w:rPr>
              <w:t>＜</w:t>
            </w:r>
            <w:r>
              <w:rPr>
                <w:rFonts w:ascii="仿宋" w:hAnsi="仿宋" w:eastAsia="仿宋" w:cs="仿宋"/>
                <w:sz w:val="28"/>
                <w:szCs w:val="28"/>
              </w:rPr>
              <w:t>90%</w:t>
            </w:r>
          </w:p>
        </w:tc>
      </w:tr>
    </w:tbl>
    <w:p>
      <w:pPr>
        <w:jc w:val="center"/>
        <w:outlineLvl w:val="0"/>
        <w:rPr>
          <w:rFonts w:ascii="宋体" w:cs="Times New Roman"/>
          <w:b/>
          <w:bCs/>
          <w:sz w:val="28"/>
          <w:szCs w:val="28"/>
        </w:rPr>
      </w:pP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六、政府采购预算情况</w:t>
      </w:r>
    </w:p>
    <w:p>
      <w:pPr>
        <w:ind w:firstLine="640" w:firstLineChars="200"/>
        <w:outlineLvl w:val="0"/>
        <w:rPr>
          <w:rFonts w:ascii="仿宋" w:hAnsi="仿宋" w:eastAsia="仿宋" w:cs="Times New Roman"/>
          <w:sz w:val="32"/>
          <w:szCs w:val="32"/>
        </w:rPr>
      </w:pPr>
      <w:r>
        <w:rPr>
          <w:rFonts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年，我部门未安排政府采购预算。</w:t>
      </w:r>
    </w:p>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七、国有资产信息</w:t>
      </w:r>
    </w:p>
    <w:p>
      <w:pPr>
        <w:autoSpaceDE w:val="0"/>
        <w:autoSpaceDN w:val="0"/>
        <w:adjustRightInd w:val="0"/>
        <w:ind w:firstLine="640" w:firstLineChars="200"/>
        <w:jc w:val="left"/>
        <w:rPr>
          <w:rFonts w:ascii="仿宋" w:hAnsi="仿宋" w:eastAsia="仿宋" w:cs="Times New Roman"/>
          <w:sz w:val="32"/>
          <w:szCs w:val="32"/>
        </w:rPr>
      </w:pPr>
      <w:r>
        <w:rPr>
          <w:rFonts w:hint="eastAsia" w:ascii="仿宋" w:hAnsi="仿宋" w:eastAsia="仿宋" w:cs="仿宋"/>
          <w:sz w:val="32"/>
          <w:szCs w:val="32"/>
        </w:rPr>
        <w:t>大厂回族自治县供销合作社上年末固定资产金额为</w:t>
      </w:r>
      <w:r>
        <w:rPr>
          <w:rFonts w:hint="eastAsia" w:ascii="仿宋" w:hAnsi="仿宋" w:eastAsia="仿宋" w:cs="仿宋"/>
          <w:sz w:val="32"/>
          <w:szCs w:val="32"/>
          <w:lang w:val="en-US" w:eastAsia="zh-CN"/>
        </w:rPr>
        <w:t>28.53</w:t>
      </w:r>
      <w:r>
        <w:rPr>
          <w:rFonts w:hint="eastAsia" w:ascii="仿宋" w:hAnsi="仿宋" w:eastAsia="仿宋" w:cs="仿宋"/>
          <w:sz w:val="32"/>
          <w:szCs w:val="32"/>
        </w:rPr>
        <w:t>元，本年度无拟购置固定资产。</w:t>
      </w:r>
    </w:p>
    <w:tbl>
      <w:tblPr>
        <w:tblStyle w:val="6"/>
        <w:tblW w:w="13482" w:type="dxa"/>
        <w:tblInd w:w="-106"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jc w:val="center"/>
              <w:rPr>
                <w:rFonts w:ascii="宋体" w:cs="Times New Roman"/>
                <w:b/>
                <w:bCs/>
                <w:kern w:val="0"/>
                <w:sz w:val="32"/>
                <w:szCs w:val="32"/>
              </w:rPr>
            </w:pPr>
            <w:r>
              <w:rPr>
                <w:rFonts w:hint="eastAsia" w:ascii="宋体" w:hAnsi="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jc w:val="left"/>
              <w:rPr>
                <w:rFonts w:ascii="方正仿宋_GBK" w:eastAsia="方正仿宋_GBK" w:cs="Times New Roman"/>
                <w:kern w:val="0"/>
                <w:sz w:val="32"/>
                <w:szCs w:val="32"/>
              </w:rPr>
            </w:pPr>
            <w:r>
              <w:rPr>
                <w:rFonts w:hint="eastAsia" w:ascii="方正仿宋_GBK" w:hAnsi="宋体" w:eastAsia="方正仿宋_GBK" w:cs="方正仿宋_GBK"/>
                <w:kern w:val="0"/>
                <w:sz w:val="32"/>
                <w:szCs w:val="32"/>
              </w:rPr>
              <w:t>编制部门：</w:t>
            </w:r>
            <w:r>
              <w:rPr>
                <w:rFonts w:hint="eastAsia" w:ascii="方正仿宋_GBK" w:hAnsi="宋体" w:eastAsia="方正仿宋_GBK" w:cs="方正仿宋_GBK"/>
                <w:kern w:val="0"/>
                <w:sz w:val="32"/>
                <w:szCs w:val="32"/>
                <w:lang w:val="en-US" w:eastAsia="zh-CN"/>
              </w:rPr>
              <w:t>957</w:t>
            </w:r>
            <w:r>
              <w:rPr>
                <w:rFonts w:hint="eastAsia" w:ascii="方正仿宋_GBK" w:hAnsi="宋体" w:eastAsia="方正仿宋_GBK" w:cs="方正仿宋_GBK"/>
                <w:kern w:val="0"/>
                <w:sz w:val="32"/>
                <w:szCs w:val="32"/>
              </w:rPr>
              <w:t>大厂回族自治县供销合作社</w:t>
            </w:r>
          </w:p>
        </w:tc>
        <w:tc>
          <w:tcPr>
            <w:tcW w:w="5103" w:type="dxa"/>
            <w:tcBorders>
              <w:top w:val="nil"/>
              <w:left w:val="nil"/>
              <w:bottom w:val="nil"/>
              <w:right w:val="nil"/>
            </w:tcBorders>
            <w:vAlign w:val="center"/>
          </w:tcPr>
          <w:p>
            <w:pPr>
              <w:widowControl/>
              <w:jc w:val="left"/>
              <w:rPr>
                <w:rFonts w:ascii="方正仿宋_GBK" w:eastAsia="方正仿宋_GBK" w:cs="Times New Roman"/>
                <w:kern w:val="0"/>
                <w:sz w:val="32"/>
                <w:szCs w:val="32"/>
              </w:rPr>
            </w:pPr>
            <w:r>
              <w:rPr>
                <w:rFonts w:hint="eastAsia" w:ascii="方正仿宋_GBK" w:hAnsi="宋体" w:eastAsia="方正仿宋_GBK" w:cs="方正仿宋_GBK"/>
                <w:kern w:val="0"/>
                <w:sz w:val="32"/>
                <w:szCs w:val="32"/>
              </w:rPr>
              <w:t>截止时间：</w:t>
            </w:r>
            <w:r>
              <w:rPr>
                <w:rFonts w:ascii="方正仿宋_GBK" w:hAnsi="宋体" w:eastAsia="方正仿宋_GBK" w:cs="方正仿宋_GBK"/>
                <w:kern w:val="0"/>
                <w:sz w:val="32"/>
                <w:szCs w:val="32"/>
              </w:rPr>
              <w:t>201</w:t>
            </w:r>
            <w:r>
              <w:rPr>
                <w:rFonts w:hint="eastAsia" w:ascii="方正仿宋_GBK" w:hAnsi="宋体" w:eastAsia="方正仿宋_GBK" w:cs="方正仿宋_GBK"/>
                <w:kern w:val="0"/>
                <w:sz w:val="32"/>
                <w:szCs w:val="32"/>
                <w:lang w:val="en-US" w:eastAsia="zh-CN"/>
              </w:rPr>
              <w:t>7</w:t>
            </w:r>
            <w:r>
              <w:rPr>
                <w:rFonts w:hint="eastAsia" w:ascii="方正仿宋_GBK" w:hAnsi="宋体" w:eastAsia="方正仿宋_GBK" w:cs="方正仿宋_GBK"/>
                <w:kern w:val="0"/>
                <w:sz w:val="32"/>
                <w:szCs w:val="32"/>
              </w:rPr>
              <w:t>年</w:t>
            </w:r>
            <w:r>
              <w:rPr>
                <w:rFonts w:ascii="方正仿宋_GBK" w:hAnsi="宋体" w:eastAsia="方正仿宋_GBK" w:cs="方正仿宋_GBK"/>
                <w:kern w:val="0"/>
                <w:sz w:val="32"/>
                <w:szCs w:val="32"/>
              </w:rPr>
              <w:t>12</w:t>
            </w:r>
            <w:r>
              <w:rPr>
                <w:rFonts w:hint="eastAsia" w:ascii="方正仿宋_GBK" w:hAnsi="宋体" w:eastAsia="方正仿宋_GBK" w:cs="方正仿宋_GBK"/>
                <w:kern w:val="0"/>
                <w:sz w:val="32"/>
                <w:szCs w:val="32"/>
              </w:rPr>
              <w:t>月</w:t>
            </w:r>
            <w:r>
              <w:rPr>
                <w:rFonts w:ascii="方正仿宋_GBK" w:hAnsi="宋体" w:eastAsia="方正仿宋_GBK" w:cs="方正仿宋_GBK"/>
                <w:kern w:val="0"/>
                <w:sz w:val="32"/>
                <w:szCs w:val="32"/>
              </w:rPr>
              <w:t>31</w:t>
            </w:r>
            <w:r>
              <w:rPr>
                <w:rFonts w:hint="eastAsia" w:ascii="方正仿宋_GBK" w:hAnsi="宋体" w:eastAsia="方正仿宋_GBK" w:cs="方正仿宋_GBK"/>
                <w:kern w:val="0"/>
                <w:sz w:val="32"/>
                <w:szCs w:val="32"/>
              </w:rPr>
              <w:t>日</w:t>
            </w:r>
            <w:r>
              <w:rPr>
                <w:rFonts w:ascii="方正仿宋_GBK" w:hAnsi="宋体" w:eastAsia="方正仿宋_GBK" w:cs="方正仿宋_GBK"/>
                <w:kern w:val="0"/>
                <w:sz w:val="32"/>
                <w:szCs w:val="32"/>
              </w:rPr>
              <w:t xml:space="preserve">  </w:t>
            </w:r>
          </w:p>
        </w:tc>
      </w:tr>
      <w:tr>
        <w:tblPrEx>
          <w:tblCellMar>
            <w:top w:w="0" w:type="dxa"/>
            <w:left w:w="108" w:type="dxa"/>
            <w:bottom w:w="0" w:type="dxa"/>
            <w:right w:w="108" w:type="dxa"/>
          </w:tblCellMar>
        </w:tblPrEx>
        <w:trPr>
          <w:trHeight w:val="645" w:hRule="atLeast"/>
        </w:trPr>
        <w:tc>
          <w:tcPr>
            <w:tcW w:w="522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Times New Roman"/>
                <w:b/>
                <w:bCs/>
                <w:kern w:val="0"/>
                <w:sz w:val="32"/>
                <w:szCs w:val="32"/>
              </w:rPr>
            </w:pPr>
            <w:r>
              <w:rPr>
                <w:rFonts w:hint="eastAsia" w:ascii="仿宋" w:hAnsi="仿宋" w:eastAsia="仿宋" w:cs="仿宋"/>
                <w:b/>
                <w:bCs/>
                <w:kern w:val="0"/>
                <w:sz w:val="32"/>
                <w:szCs w:val="32"/>
              </w:rPr>
              <w:t>项</w:t>
            </w:r>
            <w:r>
              <w:rPr>
                <w:rFonts w:ascii="仿宋" w:hAnsi="仿宋" w:eastAsia="仿宋" w:cs="仿宋"/>
                <w:b/>
                <w:bCs/>
                <w:kern w:val="0"/>
                <w:sz w:val="32"/>
                <w:szCs w:val="32"/>
              </w:rPr>
              <w:t xml:space="preserve">   </w:t>
            </w:r>
            <w:r>
              <w:rPr>
                <w:rFonts w:hint="eastAsia" w:ascii="仿宋" w:hAnsi="仿宋" w:eastAsia="仿宋" w:cs="仿宋"/>
                <w:b/>
                <w:bCs/>
                <w:kern w:val="0"/>
                <w:sz w:val="32"/>
                <w:szCs w:val="32"/>
              </w:rPr>
              <w:t>目</w:t>
            </w:r>
          </w:p>
        </w:tc>
        <w:tc>
          <w:tcPr>
            <w:tcW w:w="315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b/>
                <w:bCs/>
                <w:kern w:val="0"/>
                <w:sz w:val="32"/>
                <w:szCs w:val="32"/>
              </w:rPr>
            </w:pPr>
            <w:r>
              <w:rPr>
                <w:rFonts w:hint="eastAsia" w:ascii="仿宋" w:hAnsi="仿宋" w:eastAsia="仿宋" w:cs="仿宋"/>
                <w:b/>
                <w:bCs/>
                <w:kern w:val="0"/>
                <w:sz w:val="32"/>
                <w:szCs w:val="32"/>
              </w:rPr>
              <w:t>数量</w:t>
            </w:r>
          </w:p>
        </w:tc>
        <w:tc>
          <w:tcPr>
            <w:tcW w:w="5103"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Times New Roman"/>
                <w:b/>
                <w:bCs/>
                <w:kern w:val="0"/>
                <w:sz w:val="32"/>
                <w:szCs w:val="32"/>
              </w:rPr>
            </w:pPr>
            <w:r>
              <w:rPr>
                <w:rFonts w:hint="eastAsia" w:ascii="仿宋" w:hAnsi="仿宋" w:eastAsia="仿宋" w:cs="仿宋"/>
                <w:b/>
                <w:bCs/>
                <w:kern w:val="0"/>
                <w:sz w:val="32"/>
                <w:szCs w:val="32"/>
              </w:rPr>
              <w:t>价值（金额单位：万元）</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r>
              <w:rPr>
                <w:rFonts w:hint="eastAsia" w:ascii="仿宋" w:hAnsi="仿宋" w:eastAsia="仿宋" w:cs="仿宋"/>
                <w:kern w:val="0"/>
                <w:sz w:val="32"/>
                <w:szCs w:val="32"/>
              </w:rPr>
              <w:t>资产总额</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32"/>
                <w:szCs w:val="32"/>
              </w:rPr>
            </w:pPr>
            <w:r>
              <w:rPr>
                <w:rFonts w:ascii="仿宋" w:hAnsi="仿宋" w:eastAsia="仿宋" w:cs="仿宋"/>
                <w:kern w:val="0"/>
                <w:sz w:val="32"/>
                <w:szCs w:val="32"/>
              </w:rPr>
              <w:t>——</w:t>
            </w:r>
          </w:p>
        </w:tc>
        <w:tc>
          <w:tcPr>
            <w:tcW w:w="5103" w:type="dxa"/>
            <w:tcBorders>
              <w:top w:val="nil"/>
              <w:left w:val="nil"/>
              <w:bottom w:val="single" w:color="auto" w:sz="4" w:space="0"/>
              <w:right w:val="single" w:color="auto" w:sz="4" w:space="0"/>
            </w:tcBorders>
            <w:vAlign w:val="center"/>
          </w:tcPr>
          <w:p>
            <w:pPr>
              <w:widowControl/>
              <w:jc w:val="center"/>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lang w:val="en-US" w:eastAsia="zh-CN"/>
              </w:rPr>
              <w:t>28.53</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、房屋（平方米）</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32"/>
                <w:szCs w:val="32"/>
              </w:rPr>
            </w:pPr>
            <w:r>
              <w:rPr>
                <w:rFonts w:ascii="仿宋" w:hAnsi="仿宋" w:eastAsia="仿宋" w:cs="仿宋"/>
                <w:kern w:val="0"/>
                <w:sz w:val="32"/>
                <w:szCs w:val="32"/>
              </w:rPr>
              <w:t xml:space="preserve">   </w:t>
            </w:r>
            <w:r>
              <w:rPr>
                <w:rFonts w:hint="eastAsia" w:ascii="仿宋" w:hAnsi="仿宋" w:eastAsia="仿宋" w:cs="仿宋"/>
                <w:kern w:val="0"/>
                <w:sz w:val="32"/>
                <w:szCs w:val="32"/>
              </w:rPr>
              <w:t>其中：办公用房（平方米）</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、车辆（台、辆）</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r>
              <w:rPr>
                <w:rFonts w:ascii="仿宋" w:hAnsi="仿宋" w:eastAsia="仿宋" w:cs="仿宋"/>
                <w:kern w:val="0"/>
                <w:sz w:val="32"/>
                <w:szCs w:val="32"/>
              </w:rPr>
              <w:t>1</w:t>
            </w:r>
          </w:p>
        </w:tc>
        <w:tc>
          <w:tcPr>
            <w:tcW w:w="5103" w:type="dxa"/>
            <w:tcBorders>
              <w:top w:val="nil"/>
              <w:left w:val="nil"/>
              <w:bottom w:val="single" w:color="auto" w:sz="4" w:space="0"/>
              <w:right w:val="single" w:color="auto" w:sz="4" w:space="0"/>
            </w:tcBorders>
            <w:vAlign w:val="center"/>
          </w:tcPr>
          <w:p>
            <w:pPr>
              <w:widowControl/>
              <w:jc w:val="center"/>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lang w:val="en-US" w:eastAsia="zh-CN"/>
              </w:rPr>
              <w:t>10.60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rPr>
              <w:t>、单价在</w:t>
            </w:r>
            <w:r>
              <w:rPr>
                <w:rFonts w:ascii="仿宋" w:hAnsi="仿宋" w:eastAsia="仿宋" w:cs="仿宋"/>
                <w:kern w:val="0"/>
                <w:sz w:val="32"/>
                <w:szCs w:val="32"/>
              </w:rPr>
              <w:t>20</w:t>
            </w:r>
            <w:r>
              <w:rPr>
                <w:rFonts w:hint="eastAsia" w:ascii="仿宋" w:hAnsi="仿宋" w:eastAsia="仿宋" w:cs="仿宋"/>
                <w:kern w:val="0"/>
                <w:sz w:val="32"/>
                <w:szCs w:val="32"/>
              </w:rPr>
              <w:t>万元以上的设备</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p>
        </w:tc>
        <w:tc>
          <w:tcPr>
            <w:tcW w:w="5103"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32"/>
                <w:szCs w:val="32"/>
              </w:rPr>
            </w:pPr>
            <w:r>
              <w:rPr>
                <w:rFonts w:ascii="仿宋" w:hAnsi="仿宋" w:eastAsia="仿宋" w:cs="仿宋"/>
                <w:kern w:val="0"/>
                <w:sz w:val="32"/>
                <w:szCs w:val="32"/>
              </w:rPr>
              <w:t>4</w:t>
            </w:r>
            <w:r>
              <w:rPr>
                <w:rFonts w:hint="eastAsia" w:ascii="仿宋" w:hAnsi="仿宋" w:eastAsia="仿宋" w:cs="仿宋"/>
                <w:kern w:val="0"/>
                <w:sz w:val="32"/>
                <w:szCs w:val="32"/>
              </w:rPr>
              <w:t>、其他固定资产</w:t>
            </w:r>
          </w:p>
        </w:tc>
        <w:tc>
          <w:tcPr>
            <w:tcW w:w="3155" w:type="dxa"/>
            <w:tcBorders>
              <w:top w:val="nil"/>
              <w:left w:val="nil"/>
              <w:bottom w:val="single" w:color="auto" w:sz="4" w:space="0"/>
              <w:right w:val="single" w:color="auto" w:sz="4" w:space="0"/>
            </w:tcBorders>
            <w:vAlign w:val="center"/>
          </w:tcPr>
          <w:p>
            <w:pPr>
              <w:widowControl/>
              <w:jc w:val="center"/>
              <w:rPr>
                <w:rFonts w:ascii="仿宋" w:hAnsi="仿宋" w:eastAsia="仿宋" w:cs="Times New Roman"/>
                <w:kern w:val="0"/>
                <w:sz w:val="32"/>
                <w:szCs w:val="32"/>
              </w:rPr>
            </w:pPr>
          </w:p>
        </w:tc>
        <w:tc>
          <w:tcPr>
            <w:tcW w:w="5103" w:type="dxa"/>
            <w:tcBorders>
              <w:top w:val="nil"/>
              <w:left w:val="nil"/>
              <w:bottom w:val="single" w:color="auto" w:sz="4" w:space="0"/>
              <w:right w:val="single" w:color="auto" w:sz="4" w:space="0"/>
            </w:tcBorders>
            <w:vAlign w:val="center"/>
          </w:tcPr>
          <w:p>
            <w:pPr>
              <w:widowControl/>
              <w:jc w:val="center"/>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lang w:val="en-US" w:eastAsia="zh-CN"/>
              </w:rPr>
              <w:t>17.93</w:t>
            </w:r>
          </w:p>
        </w:tc>
      </w:tr>
    </w:tbl>
    <w:p>
      <w:pPr>
        <w:autoSpaceDE w:val="0"/>
        <w:autoSpaceDN w:val="0"/>
        <w:adjustRightInd w:val="0"/>
        <w:ind w:left="198"/>
        <w:jc w:val="left"/>
        <w:rPr>
          <w:rFonts w:ascii="方正黑体_GBK" w:hAnsi="黑体" w:eastAsia="方正黑体_GBK" w:cs="Times New Roman"/>
          <w:color w:val="FF0000"/>
          <w:sz w:val="32"/>
          <w:szCs w:val="32"/>
        </w:rPr>
      </w:pPr>
    </w:p>
    <w:p>
      <w:pPr>
        <w:pStyle w:val="10"/>
        <w:ind w:firstLine="640" w:firstLineChars="200"/>
        <w:rPr>
          <w:rFonts w:ascii="黑体" w:hAnsi="黑体" w:eastAsia="黑体"/>
          <w:color w:val="auto"/>
          <w:kern w:val="2"/>
          <w:sz w:val="32"/>
          <w:szCs w:val="32"/>
        </w:rPr>
      </w:pPr>
      <w:r>
        <w:rPr>
          <w:rFonts w:hint="eastAsia" w:ascii="黑体" w:hAnsi="黑体" w:eastAsia="黑体" w:cs="黑体"/>
          <w:color w:val="auto"/>
          <w:kern w:val="2"/>
          <w:sz w:val="32"/>
          <w:szCs w:val="32"/>
        </w:rPr>
        <w:t>八、名词解释</w:t>
      </w:r>
    </w:p>
    <w:p>
      <w:pPr>
        <w:pStyle w:val="10"/>
        <w:ind w:firstLine="640" w:firstLineChars="200"/>
        <w:rPr>
          <w:rFonts w:ascii="仿宋" w:hAnsi="仿宋" w:eastAsia="仿宋"/>
          <w:color w:val="auto"/>
          <w:kern w:val="2"/>
          <w:sz w:val="32"/>
          <w:szCs w:val="32"/>
        </w:rPr>
      </w:pPr>
      <w:r>
        <w:rPr>
          <w:rFonts w:ascii="仿宋" w:hAnsi="仿宋" w:eastAsia="仿宋" w:cs="仿宋"/>
          <w:color w:val="auto"/>
          <w:kern w:val="2"/>
          <w:sz w:val="32"/>
          <w:szCs w:val="32"/>
        </w:rPr>
        <w:t>1</w:t>
      </w:r>
      <w:r>
        <w:rPr>
          <w:rFonts w:hint="eastAsia" w:ascii="仿宋" w:hAnsi="仿宋" w:eastAsia="仿宋" w:cs="仿宋"/>
          <w:color w:val="auto"/>
          <w:kern w:val="2"/>
          <w:sz w:val="32"/>
          <w:szCs w:val="32"/>
        </w:rPr>
        <w:t>、一般公共预算拨款收入：指县级财政当年拨付的资金。</w:t>
      </w:r>
    </w:p>
    <w:p>
      <w:pPr>
        <w:pStyle w:val="10"/>
        <w:ind w:firstLine="640" w:firstLineChars="200"/>
        <w:rPr>
          <w:rFonts w:ascii="仿宋" w:hAnsi="仿宋" w:eastAsia="仿宋"/>
          <w:color w:val="auto"/>
          <w:kern w:val="2"/>
          <w:sz w:val="32"/>
          <w:szCs w:val="32"/>
        </w:rPr>
      </w:pPr>
      <w:r>
        <w:rPr>
          <w:rFonts w:ascii="仿宋" w:hAnsi="仿宋" w:eastAsia="仿宋" w:cs="仿宋"/>
          <w:color w:val="auto"/>
          <w:kern w:val="2"/>
          <w:sz w:val="32"/>
          <w:szCs w:val="32"/>
        </w:rPr>
        <w:t>2</w:t>
      </w:r>
      <w:r>
        <w:rPr>
          <w:rFonts w:hint="eastAsia" w:ascii="仿宋" w:hAnsi="仿宋" w:eastAsia="仿宋" w:cs="仿宋"/>
          <w:color w:val="auto"/>
          <w:kern w:val="2"/>
          <w:sz w:val="32"/>
          <w:szCs w:val="32"/>
        </w:rPr>
        <w:t>、事业收入：指事业单位开展专业业务活动及辅助活动所取得的收入。</w:t>
      </w:r>
    </w:p>
    <w:p>
      <w:pPr>
        <w:pStyle w:val="10"/>
        <w:ind w:firstLine="640" w:firstLineChars="200"/>
        <w:rPr>
          <w:rFonts w:ascii="仿宋" w:hAnsi="仿宋" w:eastAsia="仿宋"/>
          <w:color w:val="auto"/>
          <w:kern w:val="2"/>
          <w:sz w:val="32"/>
          <w:szCs w:val="32"/>
        </w:rPr>
      </w:pPr>
      <w:r>
        <w:rPr>
          <w:rFonts w:ascii="仿宋" w:hAnsi="仿宋" w:eastAsia="仿宋" w:cs="仿宋"/>
          <w:color w:val="auto"/>
          <w:kern w:val="2"/>
          <w:sz w:val="32"/>
          <w:szCs w:val="32"/>
        </w:rPr>
        <w:t>3</w:t>
      </w:r>
      <w:r>
        <w:rPr>
          <w:rFonts w:hint="eastAsia" w:ascii="仿宋" w:hAnsi="仿宋" w:eastAsia="仿宋" w:cs="仿宋"/>
          <w:color w:val="auto"/>
          <w:kern w:val="2"/>
          <w:sz w:val="32"/>
          <w:szCs w:val="32"/>
        </w:rPr>
        <w:t>、其他收入：指除上述“财政拨款收入”、“事业收入”等以外的收入。主要是按规定动用的租房收入、存款利息收入等。</w:t>
      </w:r>
    </w:p>
    <w:p>
      <w:pPr>
        <w:pStyle w:val="10"/>
        <w:ind w:firstLine="640" w:firstLineChars="200"/>
        <w:rPr>
          <w:rFonts w:ascii="仿宋" w:hAnsi="仿宋" w:eastAsia="仿宋"/>
          <w:color w:val="auto"/>
          <w:kern w:val="2"/>
          <w:sz w:val="32"/>
          <w:szCs w:val="32"/>
        </w:rPr>
      </w:pPr>
      <w:r>
        <w:rPr>
          <w:rFonts w:ascii="仿宋" w:hAnsi="仿宋" w:eastAsia="仿宋" w:cs="仿宋"/>
          <w:color w:val="auto"/>
          <w:kern w:val="2"/>
          <w:sz w:val="32"/>
          <w:szCs w:val="32"/>
        </w:rPr>
        <w:t>4</w:t>
      </w:r>
      <w:r>
        <w:rPr>
          <w:rFonts w:hint="eastAsia" w:ascii="仿宋" w:hAnsi="仿宋" w:eastAsia="仿宋" w:cs="仿宋"/>
          <w:color w:val="auto"/>
          <w:kern w:val="2"/>
          <w:sz w:val="32"/>
          <w:szCs w:val="32"/>
        </w:rPr>
        <w:t>、基本支出：指为保障机构正常运转、完成日常工作任务而发生的人员支出和公用支出。</w:t>
      </w:r>
    </w:p>
    <w:p>
      <w:pPr>
        <w:ind w:firstLine="640" w:firstLineChars="200"/>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、项目支出：指在基本支出之外为完成特定行政任务和事业发展目标所发生的支出。</w:t>
      </w:r>
    </w:p>
    <w:p>
      <w:pPr>
        <w:pStyle w:val="10"/>
        <w:ind w:firstLine="640" w:firstLineChars="200"/>
        <w:rPr>
          <w:rFonts w:ascii="仿宋" w:hAnsi="仿宋" w:eastAsia="仿宋"/>
          <w:color w:val="auto"/>
          <w:kern w:val="2"/>
          <w:sz w:val="32"/>
          <w:szCs w:val="32"/>
        </w:rPr>
      </w:pPr>
      <w:r>
        <w:rPr>
          <w:rFonts w:ascii="仿宋" w:hAnsi="仿宋" w:eastAsia="仿宋" w:cs="仿宋"/>
          <w:color w:val="auto"/>
          <w:kern w:val="2"/>
          <w:sz w:val="32"/>
          <w:szCs w:val="32"/>
        </w:rPr>
        <w:t>6</w:t>
      </w:r>
      <w:r>
        <w:rPr>
          <w:rFonts w:hint="eastAsia" w:ascii="仿宋" w:hAnsi="仿宋" w:eastAsia="仿宋" w:cs="仿宋"/>
          <w:color w:val="auto"/>
          <w:kern w:val="2"/>
          <w:sz w:val="32"/>
          <w:szCs w:val="32"/>
        </w:rPr>
        <w:t>、上缴上级支出：指下级单位上缴上级的支出。</w:t>
      </w:r>
    </w:p>
    <w:p>
      <w:pPr>
        <w:pStyle w:val="10"/>
        <w:ind w:firstLine="640" w:firstLineChars="200"/>
        <w:rPr>
          <w:rFonts w:ascii="仿宋" w:hAnsi="仿宋" w:eastAsia="仿宋"/>
          <w:color w:val="auto"/>
          <w:kern w:val="2"/>
          <w:sz w:val="32"/>
          <w:szCs w:val="32"/>
        </w:rPr>
      </w:pPr>
      <w:r>
        <w:rPr>
          <w:rFonts w:ascii="仿宋" w:hAnsi="仿宋" w:eastAsia="仿宋" w:cs="仿宋"/>
          <w:color w:val="auto"/>
          <w:kern w:val="2"/>
          <w:sz w:val="32"/>
          <w:szCs w:val="32"/>
        </w:rPr>
        <w:t>7</w:t>
      </w:r>
      <w:r>
        <w:rPr>
          <w:rFonts w:hint="eastAsia" w:ascii="仿宋" w:hAnsi="仿宋" w:eastAsia="仿宋" w:cs="仿宋"/>
          <w:color w:val="auto"/>
          <w:kern w:val="2"/>
          <w:sz w:val="32"/>
          <w:szCs w:val="32"/>
        </w:rPr>
        <w:t>、“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rPr>
          <w:rFonts w:ascii="仿宋" w:hAnsi="仿宋" w:eastAsia="仿宋" w:cs="Times New Roman"/>
          <w:sz w:val="32"/>
          <w:szCs w:val="32"/>
        </w:rPr>
      </w:pPr>
      <w:r>
        <w:rPr>
          <w:rFonts w:ascii="仿宋" w:hAnsi="仿宋" w:eastAsia="仿宋" w:cs="仿宋"/>
          <w:sz w:val="32"/>
          <w:szCs w:val="32"/>
        </w:rPr>
        <w:t>8</w:t>
      </w:r>
      <w:r>
        <w:rPr>
          <w:rFonts w:hint="eastAsia" w:ascii="仿宋" w:hAnsi="仿宋" w:eastAsia="仿宋" w:cs="仿宋"/>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黑体"/>
          <w:sz w:val="32"/>
          <w:szCs w:val="32"/>
        </w:rPr>
        <w:t>九、其它需要说明的事项</w:t>
      </w:r>
    </w:p>
    <w:p>
      <w:pPr>
        <w:ind w:firstLine="640" w:firstLineChars="200"/>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、我单位不涉及政府性基金支出和国有资本经营支出，因此部门预算政府性基金预算财政拨款支出表和国有资本经营预算财政拨款支出表没有数据。</w:t>
      </w:r>
    </w:p>
    <w:p>
      <w:pPr>
        <w:ind w:firstLine="640" w:firstLineChars="200"/>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、我单位无政府采购支出和非税收入。</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SimSun-ExtB"/>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roman"/>
    <w:pitch w:val="default"/>
    <w:sig w:usb0="00000000" w:usb1="00000000" w:usb2="00000010" w:usb3="00000000" w:csb0="00040000" w:csb1="00000000"/>
  </w:font>
  <w:font w:name="方正黑体_GBK">
    <w:altName w:val="SimSun-ExtB"/>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SimSun-ExtB">
    <w:panose1 w:val="02010609060101010101"/>
    <w:charset w:val="86"/>
    <w:family w:val="auto"/>
    <w:pitch w:val="default"/>
    <w:sig w:usb0="00000001" w:usb1="02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1464E"/>
    <w:rsid w:val="00035B59"/>
    <w:rsid w:val="00037603"/>
    <w:rsid w:val="00037AF6"/>
    <w:rsid w:val="00045A61"/>
    <w:rsid w:val="000551B2"/>
    <w:rsid w:val="00063D46"/>
    <w:rsid w:val="00075D5F"/>
    <w:rsid w:val="0009672E"/>
    <w:rsid w:val="000C3A19"/>
    <w:rsid w:val="000F7801"/>
    <w:rsid w:val="001245BB"/>
    <w:rsid w:val="00126DB3"/>
    <w:rsid w:val="00132E9D"/>
    <w:rsid w:val="00133C1E"/>
    <w:rsid w:val="00153D0B"/>
    <w:rsid w:val="00160C6C"/>
    <w:rsid w:val="0018479D"/>
    <w:rsid w:val="00185FC7"/>
    <w:rsid w:val="001A35BF"/>
    <w:rsid w:val="001B369F"/>
    <w:rsid w:val="001C2430"/>
    <w:rsid w:val="001D1FD4"/>
    <w:rsid w:val="001E62D1"/>
    <w:rsid w:val="001F55D2"/>
    <w:rsid w:val="00206BF3"/>
    <w:rsid w:val="0022374F"/>
    <w:rsid w:val="002362C3"/>
    <w:rsid w:val="00241FD4"/>
    <w:rsid w:val="00247064"/>
    <w:rsid w:val="00251B12"/>
    <w:rsid w:val="00262359"/>
    <w:rsid w:val="002645FB"/>
    <w:rsid w:val="00296113"/>
    <w:rsid w:val="002C29FB"/>
    <w:rsid w:val="002E38C5"/>
    <w:rsid w:val="002F3E58"/>
    <w:rsid w:val="0030542C"/>
    <w:rsid w:val="00311B7A"/>
    <w:rsid w:val="0031584D"/>
    <w:rsid w:val="00330320"/>
    <w:rsid w:val="00373974"/>
    <w:rsid w:val="003A369C"/>
    <w:rsid w:val="003A4FAA"/>
    <w:rsid w:val="003B33A8"/>
    <w:rsid w:val="003C0DED"/>
    <w:rsid w:val="003E1A7F"/>
    <w:rsid w:val="0041762E"/>
    <w:rsid w:val="00424BA8"/>
    <w:rsid w:val="004316A4"/>
    <w:rsid w:val="00451871"/>
    <w:rsid w:val="00467469"/>
    <w:rsid w:val="00472923"/>
    <w:rsid w:val="00492152"/>
    <w:rsid w:val="00492214"/>
    <w:rsid w:val="004B1084"/>
    <w:rsid w:val="004C61E8"/>
    <w:rsid w:val="004E3066"/>
    <w:rsid w:val="004E74CD"/>
    <w:rsid w:val="00526EBA"/>
    <w:rsid w:val="0056274F"/>
    <w:rsid w:val="00573562"/>
    <w:rsid w:val="005947F7"/>
    <w:rsid w:val="00614A29"/>
    <w:rsid w:val="00625B9C"/>
    <w:rsid w:val="0062743C"/>
    <w:rsid w:val="006415EB"/>
    <w:rsid w:val="006A4B91"/>
    <w:rsid w:val="006A6EFB"/>
    <w:rsid w:val="006C1323"/>
    <w:rsid w:val="006C5021"/>
    <w:rsid w:val="006D6F71"/>
    <w:rsid w:val="0070101A"/>
    <w:rsid w:val="0071444A"/>
    <w:rsid w:val="00750698"/>
    <w:rsid w:val="0075393C"/>
    <w:rsid w:val="00755FD9"/>
    <w:rsid w:val="00776C08"/>
    <w:rsid w:val="00796358"/>
    <w:rsid w:val="007B4EE0"/>
    <w:rsid w:val="007E1DA8"/>
    <w:rsid w:val="007F6C26"/>
    <w:rsid w:val="00807E22"/>
    <w:rsid w:val="00822115"/>
    <w:rsid w:val="00827E9F"/>
    <w:rsid w:val="008334AE"/>
    <w:rsid w:val="00836FED"/>
    <w:rsid w:val="00845CD2"/>
    <w:rsid w:val="008502D8"/>
    <w:rsid w:val="00852B0D"/>
    <w:rsid w:val="0087549F"/>
    <w:rsid w:val="00881692"/>
    <w:rsid w:val="00896C0C"/>
    <w:rsid w:val="008A3B17"/>
    <w:rsid w:val="008B042F"/>
    <w:rsid w:val="008B3CC5"/>
    <w:rsid w:val="008C2BAF"/>
    <w:rsid w:val="008E3E7A"/>
    <w:rsid w:val="008E4261"/>
    <w:rsid w:val="008F4662"/>
    <w:rsid w:val="00905D08"/>
    <w:rsid w:val="009123F0"/>
    <w:rsid w:val="00925753"/>
    <w:rsid w:val="00927EBB"/>
    <w:rsid w:val="00966C5C"/>
    <w:rsid w:val="00973104"/>
    <w:rsid w:val="009C2175"/>
    <w:rsid w:val="009C3817"/>
    <w:rsid w:val="009F081F"/>
    <w:rsid w:val="00A17B4B"/>
    <w:rsid w:val="00A27A76"/>
    <w:rsid w:val="00A51E4F"/>
    <w:rsid w:val="00A72D2E"/>
    <w:rsid w:val="00A86850"/>
    <w:rsid w:val="00A911E7"/>
    <w:rsid w:val="00A939D9"/>
    <w:rsid w:val="00A97DB6"/>
    <w:rsid w:val="00AA5E05"/>
    <w:rsid w:val="00AD4097"/>
    <w:rsid w:val="00AF1EBA"/>
    <w:rsid w:val="00B07267"/>
    <w:rsid w:val="00B13148"/>
    <w:rsid w:val="00B141A8"/>
    <w:rsid w:val="00B20712"/>
    <w:rsid w:val="00B22500"/>
    <w:rsid w:val="00B43238"/>
    <w:rsid w:val="00B75216"/>
    <w:rsid w:val="00B916B0"/>
    <w:rsid w:val="00B91D52"/>
    <w:rsid w:val="00BA1ACD"/>
    <w:rsid w:val="00BB3BD4"/>
    <w:rsid w:val="00BE147F"/>
    <w:rsid w:val="00BE4B2C"/>
    <w:rsid w:val="00C46B80"/>
    <w:rsid w:val="00C47493"/>
    <w:rsid w:val="00C62EA6"/>
    <w:rsid w:val="00C667C6"/>
    <w:rsid w:val="00C90F19"/>
    <w:rsid w:val="00CA7176"/>
    <w:rsid w:val="00CD2773"/>
    <w:rsid w:val="00CE143B"/>
    <w:rsid w:val="00CF78ED"/>
    <w:rsid w:val="00D3008E"/>
    <w:rsid w:val="00D93604"/>
    <w:rsid w:val="00DE26A5"/>
    <w:rsid w:val="00DF047A"/>
    <w:rsid w:val="00DF45ED"/>
    <w:rsid w:val="00E00A0E"/>
    <w:rsid w:val="00E06E31"/>
    <w:rsid w:val="00E167C7"/>
    <w:rsid w:val="00E227FA"/>
    <w:rsid w:val="00E47C91"/>
    <w:rsid w:val="00E91838"/>
    <w:rsid w:val="00EC3092"/>
    <w:rsid w:val="00EC47F6"/>
    <w:rsid w:val="00EC6D91"/>
    <w:rsid w:val="00ED37C6"/>
    <w:rsid w:val="00EE0272"/>
    <w:rsid w:val="00EE1B43"/>
    <w:rsid w:val="00F0605C"/>
    <w:rsid w:val="00F153EF"/>
    <w:rsid w:val="00F40C88"/>
    <w:rsid w:val="00F45B34"/>
    <w:rsid w:val="00F66032"/>
    <w:rsid w:val="00F70665"/>
    <w:rsid w:val="00F924D1"/>
    <w:rsid w:val="00F958C2"/>
    <w:rsid w:val="00FA0E29"/>
    <w:rsid w:val="00FF7804"/>
    <w:rsid w:val="05FB3F0C"/>
    <w:rsid w:val="0FB52A8B"/>
    <w:rsid w:val="129D766F"/>
    <w:rsid w:val="19696E9C"/>
    <w:rsid w:val="1A515E7D"/>
    <w:rsid w:val="24FF1504"/>
    <w:rsid w:val="38B775AA"/>
    <w:rsid w:val="4489781A"/>
    <w:rsid w:val="4EDC305B"/>
    <w:rsid w:val="522D3A0F"/>
    <w:rsid w:val="5D5E2E48"/>
    <w:rsid w:val="5D7A21B7"/>
    <w:rsid w:val="6B36196D"/>
    <w:rsid w:val="6FF6435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rFonts w:ascii="Times New Roman" w:hAnsi="Times New Roman" w:cs="Times New Roman"/>
      <w:sz w:val="18"/>
      <w:szCs w:val="18"/>
    </w:rPr>
  </w:style>
  <w:style w:type="paragraph" w:styleId="3">
    <w:name w:val="header"/>
    <w:basedOn w:val="1"/>
    <w:link w:val="9"/>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4">
    <w:name w:val="toc 1"/>
    <w:basedOn w:val="1"/>
    <w:next w:val="1"/>
    <w:semiHidden/>
    <w:qFormat/>
    <w:uiPriority w:val="99"/>
    <w:rPr>
      <w:rFonts w:ascii="Times New Roman" w:hAnsi="Times New Roman" w:cs="Times New Roman"/>
    </w:rPr>
  </w:style>
  <w:style w:type="paragraph" w:styleId="5">
    <w:name w:val="toc 2"/>
    <w:basedOn w:val="1"/>
    <w:next w:val="1"/>
    <w:semiHidden/>
    <w:qFormat/>
    <w:uiPriority w:val="99"/>
    <w:pPr>
      <w:ind w:left="420" w:leftChars="200"/>
    </w:pPr>
    <w:rPr>
      <w:rFonts w:ascii="Times New Roman" w:hAnsi="Times New Roman" w:cs="Times New Roman"/>
    </w:rPr>
  </w:style>
  <w:style w:type="character" w:customStyle="1" w:styleId="8">
    <w:name w:val="Footer Char"/>
    <w:basedOn w:val="7"/>
    <w:link w:val="2"/>
    <w:qFormat/>
    <w:locked/>
    <w:uiPriority w:val="99"/>
    <w:rPr>
      <w:rFonts w:ascii="Times New Roman" w:hAnsi="Times New Roman" w:eastAsia="宋体" w:cs="Times New Roman"/>
      <w:sz w:val="18"/>
      <w:szCs w:val="18"/>
    </w:rPr>
  </w:style>
  <w:style w:type="character" w:customStyle="1" w:styleId="9">
    <w:name w:val="Header Char"/>
    <w:basedOn w:val="7"/>
    <w:link w:val="3"/>
    <w:qFormat/>
    <w:locked/>
    <w:uiPriority w:val="99"/>
    <w:rPr>
      <w:rFonts w:ascii="Times New Roman" w:hAnsi="Times New Roman" w:eastAsia="宋体" w:cs="Times New Roman"/>
      <w:sz w:val="18"/>
      <w:szCs w:val="18"/>
    </w:rPr>
  </w:style>
  <w:style w:type="paragraph" w:customStyle="1" w:styleId="10">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Sky123.Org</Company>
  <Pages>14</Pages>
  <Words>776</Words>
  <Characters>4425</Characters>
  <Lines>0</Lines>
  <Paragraphs>0</Paragraphs>
  <TotalTime>8</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2017-06-26T07:39:00Z</dcterms:created>
  <dc:creator>guest</dc:creator>
  <cp:lastModifiedBy>Administrator</cp:lastModifiedBy>
  <dcterms:modified xsi:type="dcterms:W3CDTF">2023-12-29T03:17:18Z</dcterms:modified>
  <dc:title>河北省廊坊市大厂回族自治县供销合作社</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D3D297A2260444D682A58DB1888F9A5C</vt:lpwstr>
  </property>
</Properties>
</file>